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36"/>
          <w:szCs w:val="28"/>
        </w:rPr>
      </w:pPr>
      <w:r>
        <w:rPr>
          <w:rFonts w:hint="default"/>
          <w:sz w:val="36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-215265</wp:posOffset>
            </wp:positionV>
            <wp:extent cx="1019175" cy="971550"/>
            <wp:effectExtent l="0" t="0" r="9525" b="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28"/>
          <w:lang w:val="en-US" w:eastAsia="zh-CN"/>
        </w:rPr>
        <w:t>学历教育</w:t>
      </w:r>
      <w:r>
        <w:rPr>
          <w:rFonts w:hint="eastAsia"/>
          <w:sz w:val="36"/>
          <w:szCs w:val="28"/>
        </w:rPr>
        <w:t>报名信息采集表</w:t>
      </w:r>
    </w:p>
    <w:p>
      <w:pPr>
        <w:spacing w:line="480" w:lineRule="auto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sz w:val="24"/>
          <w:szCs w:val="32"/>
        </w:rPr>
        <w:t>报名点</w:t>
      </w:r>
      <w:r>
        <w:rPr>
          <w:rFonts w:hint="eastAsia"/>
          <w:sz w:val="22"/>
          <w:szCs w:val="28"/>
        </w:rPr>
        <w:t>：</w:t>
      </w:r>
      <w:r>
        <w:rPr>
          <w:rFonts w:hint="eastAsia"/>
          <w:sz w:val="28"/>
          <w:szCs w:val="28"/>
        </w:rPr>
        <w:t>温州</w:t>
      </w:r>
      <w:r>
        <w:rPr>
          <w:rFonts w:hint="eastAsia"/>
          <w:sz w:val="28"/>
          <w:szCs w:val="28"/>
          <w:lang w:eastAsia="zh-CN"/>
        </w:rPr>
        <w:t>工科院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eastAsia="zh-CN"/>
        </w:rPr>
        <w:t>报考学校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</w:t>
      </w:r>
    </w:p>
    <w:tbl>
      <w:tblPr>
        <w:tblStyle w:val="2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30"/>
        <w:gridCol w:w="1470"/>
        <w:gridCol w:w="736"/>
        <w:gridCol w:w="360"/>
        <w:gridCol w:w="554"/>
        <w:gridCol w:w="706"/>
        <w:gridCol w:w="170"/>
        <w:gridCol w:w="91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4906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906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□中共党员  □预备党员  □共青团员  □群众</w:t>
            </w: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4906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4906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是否在职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□是   否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备用手机号码（非常重要）</w:t>
            </w:r>
          </w:p>
        </w:tc>
        <w:tc>
          <w:tcPr>
            <w:tcW w:w="65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ind w:left="525" w:hanging="525" w:hangingChars="250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ind w:left="525" w:hanging="525" w:hangingChars="250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ind w:left="525" w:hanging="525" w:hangingChars="250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毕业证书是否国民教育系列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毕业证书编号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报读情况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报读层次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654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□高起专  □ 专升本  □ 第二本科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报读专业</w:t>
            </w:r>
            <w:r>
              <w:rPr>
                <w:rFonts w:hint="eastAsia"/>
                <w:color w:val="FF0000"/>
              </w:rPr>
              <w:t>★</w:t>
            </w:r>
          </w:p>
        </w:tc>
        <w:tc>
          <w:tcPr>
            <w:tcW w:w="65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540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540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</w:p>
        </w:tc>
      </w:tr>
    </w:tbl>
    <w:p>
      <w:pPr>
        <w:spacing w:before="468" w:beforeLines="150" w:line="240" w:lineRule="exact"/>
        <w:rPr>
          <w:rFonts w:hint="eastAsia"/>
        </w:rPr>
      </w:pPr>
      <w:r>
        <w:rPr>
          <w:rFonts w:hint="eastAsia"/>
        </w:rPr>
        <w:t>学生本人签字：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            日期：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>
      <w:pPr>
        <w:spacing w:before="156" w:beforeLines="50"/>
        <w:rPr>
          <w:rFonts w:hint="eastAsia"/>
        </w:rPr>
      </w:pPr>
      <w:r>
        <w:rPr>
          <w:rFonts w:hint="eastAsia"/>
        </w:rPr>
        <w:t>审核教师签字：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            日期：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>
      <w:pPr>
        <w:spacing w:before="156" w:beforeLines="50"/>
        <w:rPr>
          <w:rFonts w:hint="eastAsia"/>
        </w:rPr>
      </w:pPr>
      <w:r>
        <w:rPr>
          <w:rFonts w:hint="eastAsia"/>
        </w:rPr>
        <w:t>填表说明：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1、学员报名时须交验有关证件及其复印件，经验证后归还原件，复印件交学校存档。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2、出示的身份证、毕业证、证明材料原件及其复印件必须清晰，不清晰者，视为无效。</w:t>
      </w:r>
    </w:p>
    <w:p>
      <w:pPr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eastAsia="仿宋_GB2312"/>
          <w:szCs w:val="21"/>
        </w:rPr>
        <w:t>3、</w:t>
      </w:r>
      <w:r>
        <w:rPr>
          <w:rFonts w:hint="eastAsia" w:ascii="仿宋_GB2312" w:hAnsi="宋体" w:eastAsia="仿宋_GB2312" w:cs="宋体"/>
          <w:kern w:val="0"/>
          <w:szCs w:val="21"/>
        </w:rPr>
        <w:t>报读高起专需具有高中、中专或同等学历；报读专升本需具有国民教育系列大学专科及以上学历。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4、国民教育系列毕业证书包括：经教育部批准，具有颁发毕业证书资格的普通高等教育、成人高等教育、网络教育、自学考试、电大等，可在教育部电子证书查询系统中查询。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5、本表用钢笔或签字笔填写，书写端正，内容齐全，真实有效，以备学校建档使用。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0407A"/>
    <w:rsid w:val="318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wzgkyedu.com/admin/UploadFilesYangxianshao/2014221164411584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2020-07-15T02:13:00Z</dcterms:created>
  <dc:creator>Administrator</dc:creator>
  <cp:lastModifiedBy>Administrator</cp:lastModifiedBy>
  <dcterms:modified xsi:type="dcterms:W3CDTF">2020-07-15T02:13:18Z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