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3" w:lineRule="auto" w:before="30"/>
        <w:ind w:left="383" w:right="447" w:firstLine="0"/>
        <w:jc w:val="center"/>
        <w:rPr>
          <w:sz w:val="44"/>
        </w:rPr>
      </w:pPr>
      <w:r>
        <w:rPr>
          <w:spacing w:val="-1"/>
          <w:sz w:val="44"/>
        </w:rPr>
        <w:t>山东大学高等学历继续教育本科毕业论文</w:t>
      </w:r>
      <w:r>
        <w:rPr>
          <w:sz w:val="44"/>
        </w:rPr>
        <w:t>工作规程</w:t>
      </w:r>
    </w:p>
    <w:p>
      <w:pPr>
        <w:pStyle w:val="BodyText"/>
        <w:spacing w:before="189"/>
        <w:ind w:left="383" w:right="442"/>
        <w:jc w:val="center"/>
        <w:rPr>
          <w:rFonts w:ascii="黑体" w:eastAsia="黑体" w:hint="eastAsia"/>
        </w:rPr>
      </w:pPr>
      <w:r>
        <w:rPr>
          <w:rFonts w:ascii="黑体" w:eastAsia="黑体" w:hint="eastAsia"/>
          <w:spacing w:val="-1"/>
        </w:rPr>
        <w:t>第一章 总则</w:t>
      </w:r>
    </w:p>
    <w:p>
      <w:pPr>
        <w:pStyle w:val="BodyText"/>
        <w:spacing w:line="264" w:lineRule="auto" w:before="24"/>
        <w:ind w:right="210" w:firstLine="643"/>
      </w:pPr>
      <w:r>
        <w:rPr>
          <w:rFonts w:ascii="Microsoft JhengHei" w:eastAsia="Microsoft JhengHei" w:hint="eastAsia"/>
          <w:b/>
        </w:rPr>
        <w:t>第一条 </w:t>
      </w:r>
      <w:r>
        <w:rPr/>
        <w:t>毕业论文（含毕业设计，以下统称毕业论文） 是本科人才培养的重要环节，是学生毕业及获得学位资格的</w:t>
      </w:r>
    </w:p>
    <w:p>
      <w:pPr>
        <w:pStyle w:val="BodyText"/>
        <w:spacing w:line="316" w:lineRule="auto" w:before="88"/>
        <w:ind w:right="210"/>
      </w:pPr>
      <w:r>
        <w:rPr/>
        <w:t>必要条件。为加强学术诚信建设和毕业论文管理工作，提高毕业论文质量，结合学校实际，特制定本规程。</w:t>
      </w:r>
    </w:p>
    <w:p>
      <w:pPr>
        <w:pStyle w:val="BodyText"/>
        <w:spacing w:line="480" w:lineRule="exact"/>
        <w:ind w:left="863"/>
      </w:pPr>
      <w:r>
        <w:rPr>
          <w:rFonts w:ascii="Microsoft JhengHei" w:eastAsia="Microsoft JhengHei" w:hint="eastAsia"/>
          <w:b/>
        </w:rPr>
        <w:t>第二条 </w:t>
      </w:r>
      <w:r>
        <w:rPr/>
        <w:t>毕业论文旨在培养学生严谨求实的科学态度，</w:t>
      </w:r>
    </w:p>
    <w:p>
      <w:pPr>
        <w:pStyle w:val="BodyText"/>
        <w:spacing w:line="316" w:lineRule="auto" w:before="57"/>
        <w:ind w:right="280"/>
        <w:jc w:val="both"/>
      </w:pPr>
      <w:r>
        <w:rPr>
          <w:spacing w:val="-6"/>
        </w:rPr>
        <w:t>基本的工程设计和科学研究能力，理论联系实际、敢于创新</w:t>
      </w:r>
      <w:r>
        <w:rPr>
          <w:spacing w:val="-9"/>
        </w:rPr>
        <w:t>的工作作风，以及综合运用所学基础理论、基本知识和基本</w:t>
      </w:r>
      <w:r>
        <w:rPr/>
        <w:t>技能分析和解决实际问题的能力。</w:t>
      </w:r>
    </w:p>
    <w:p>
      <w:pPr>
        <w:pStyle w:val="BodyText"/>
        <w:spacing w:line="480" w:lineRule="exact"/>
        <w:ind w:left="863"/>
        <w:jc w:val="both"/>
      </w:pPr>
      <w:r>
        <w:rPr>
          <w:rFonts w:ascii="Microsoft JhengHei" w:eastAsia="Microsoft JhengHei" w:hint="eastAsia"/>
          <w:b/>
        </w:rPr>
        <w:t>第三条 </w:t>
      </w:r>
      <w:r>
        <w:rPr/>
        <w:t>各教学单位要落实立德树人根本任务，立足学</w:t>
      </w:r>
    </w:p>
    <w:p>
      <w:pPr>
        <w:pStyle w:val="BodyText"/>
        <w:spacing w:line="316" w:lineRule="auto" w:before="57"/>
        <w:ind w:right="276"/>
        <w:jc w:val="both"/>
      </w:pPr>
      <w:r>
        <w:rPr>
          <w:spacing w:val="-6"/>
        </w:rPr>
        <w:t>生个人成长和职业发展，着重培养学生的问题意识、诚信意</w:t>
      </w:r>
      <w:r>
        <w:rPr>
          <w:spacing w:val="-10"/>
        </w:rPr>
        <w:t>识、创新意识和终身学习意识，引导学生树立良好的职业道德、社会责任感和担当精神；培养学生综合运用所学知识和技能，开展独立研究或工作，分析、解决具有一定复杂程度</w:t>
      </w:r>
      <w:r>
        <w:rPr>
          <w:spacing w:val="-7"/>
        </w:rPr>
        <w:t>的实际问题的能力；培养学生依照学术规范和专业要求，规范化撰写论文的能力。</w:t>
      </w:r>
    </w:p>
    <w:p>
      <w:pPr>
        <w:pStyle w:val="BodyText"/>
        <w:spacing w:line="476" w:lineRule="exact"/>
        <w:ind w:left="863"/>
        <w:jc w:val="both"/>
      </w:pPr>
      <w:r>
        <w:rPr>
          <w:rFonts w:ascii="Microsoft JhengHei" w:eastAsia="Microsoft JhengHei" w:hint="eastAsia"/>
          <w:b/>
        </w:rPr>
        <w:t>第四条 </w:t>
      </w:r>
      <w:r>
        <w:rPr/>
        <w:t>学生是毕业论文工作的主体，要秉持认真严谨、</w:t>
      </w:r>
    </w:p>
    <w:p>
      <w:pPr>
        <w:pStyle w:val="BodyText"/>
        <w:spacing w:line="316" w:lineRule="auto" w:before="58"/>
        <w:ind w:right="210"/>
      </w:pPr>
      <w:r>
        <w:rPr/>
        <w:t>积极主动的态度，在指导教师的指导下独立做出反映自己最高水平的毕业论文。</w:t>
      </w:r>
    </w:p>
    <w:p>
      <w:pPr>
        <w:pStyle w:val="BodyText"/>
        <w:spacing w:line="408" w:lineRule="exact"/>
        <w:ind w:left="383" w:right="438"/>
        <w:jc w:val="center"/>
        <w:rPr>
          <w:rFonts w:ascii="黑体" w:eastAsia="黑体" w:hint="eastAsia"/>
        </w:rPr>
      </w:pPr>
      <w:r>
        <w:rPr>
          <w:rFonts w:ascii="黑体" w:eastAsia="黑体" w:hint="eastAsia"/>
        </w:rPr>
        <w:t>第二章 指导教师</w:t>
      </w:r>
    </w:p>
    <w:p>
      <w:pPr>
        <w:spacing w:before="24"/>
        <w:ind w:left="863" w:right="0" w:firstLine="0"/>
        <w:jc w:val="left"/>
        <w:rPr>
          <w:sz w:val="32"/>
        </w:rPr>
      </w:pPr>
      <w:r>
        <w:rPr>
          <w:rFonts w:ascii="Microsoft JhengHei" w:eastAsia="Microsoft JhengHei" w:hint="eastAsia"/>
          <w:b/>
          <w:sz w:val="32"/>
        </w:rPr>
        <w:t>第五条 </w:t>
      </w:r>
      <w:r>
        <w:rPr>
          <w:sz w:val="32"/>
        </w:rPr>
        <w:t>指导教师聘任条件</w:t>
      </w:r>
    </w:p>
    <w:p>
      <w:pPr>
        <w:pStyle w:val="BodyText"/>
        <w:spacing w:before="58"/>
        <w:ind w:left="861"/>
      </w:pPr>
      <w:r>
        <w:rPr/>
        <w:t>指导教师应具备良好的师德师风和责任心，校内教师须</w:t>
      </w:r>
    </w:p>
    <w:p>
      <w:pPr>
        <w:spacing w:after="0"/>
        <w:sectPr>
          <w:type w:val="continuous"/>
          <w:pgSz w:w="11860" w:h="16790"/>
          <w:pgMar w:top="1480" w:bottom="280" w:left="1580" w:right="1520"/>
        </w:sectPr>
      </w:pPr>
    </w:p>
    <w:p>
      <w:pPr>
        <w:pStyle w:val="BodyText"/>
        <w:spacing w:line="316" w:lineRule="auto" w:before="29"/>
        <w:ind w:right="276"/>
        <w:jc w:val="both"/>
      </w:pPr>
      <w:r>
        <w:rPr>
          <w:spacing w:val="-8"/>
        </w:rPr>
        <w:t>具有中级以上职称，校外教师须符合《山东大学专聘教师聘用管理办法》中“兼职辅导教师”聘任要求，每位教师指导的同批次学生不得超过 </w:t>
      </w:r>
      <w:r>
        <w:rPr/>
        <w:t>30</w:t>
      </w:r>
      <w:r>
        <w:rPr>
          <w:spacing w:val="-28"/>
        </w:rPr>
        <w:t> 人。</w:t>
      </w:r>
    </w:p>
    <w:p>
      <w:pPr>
        <w:spacing w:line="479" w:lineRule="exact" w:before="0"/>
        <w:ind w:left="863" w:right="0" w:firstLine="0"/>
        <w:jc w:val="left"/>
        <w:rPr>
          <w:sz w:val="32"/>
        </w:rPr>
      </w:pPr>
      <w:r>
        <w:rPr>
          <w:rFonts w:ascii="Microsoft JhengHei" w:eastAsia="Microsoft JhengHei" w:hint="eastAsia"/>
          <w:b/>
          <w:sz w:val="32"/>
        </w:rPr>
        <w:t>第六条  </w:t>
      </w:r>
      <w:r>
        <w:rPr>
          <w:sz w:val="32"/>
        </w:rPr>
        <w:t>指导教师工作要求</w:t>
      </w:r>
    </w:p>
    <w:p>
      <w:pPr>
        <w:pStyle w:val="BodyText"/>
        <w:spacing w:line="316" w:lineRule="auto" w:before="57"/>
        <w:ind w:right="209" w:firstLine="640"/>
      </w:pPr>
      <w:r>
        <w:rPr/>
        <w:t>（一）指导教师应根据选题原则和要求，提出明确的毕业论文选题范围和任务要求。</w:t>
      </w:r>
    </w:p>
    <w:p>
      <w:pPr>
        <w:pStyle w:val="BodyText"/>
        <w:spacing w:line="316" w:lineRule="auto"/>
        <w:ind w:right="278" w:firstLine="640"/>
        <w:jc w:val="both"/>
      </w:pPr>
      <w:r>
        <w:rPr/>
        <w:t>（二</w:t>
      </w:r>
      <w:r>
        <w:rPr>
          <w:spacing w:val="-34"/>
        </w:rPr>
        <w:t>）</w:t>
      </w:r>
      <w:r>
        <w:rPr>
          <w:spacing w:val="-4"/>
        </w:rPr>
        <w:t>指导教师应本着科学严谨的态度，结合每个学生</w:t>
      </w:r>
      <w:r>
        <w:rPr>
          <w:spacing w:val="-8"/>
        </w:rPr>
        <w:t>的特点和工作实践，进行毕业论文研究和撰写的指导，重点</w:t>
      </w:r>
      <w:r>
        <w:rPr>
          <w:spacing w:val="-7"/>
        </w:rPr>
        <w:t>关注学生论文选题意义、写作安排、逻辑构建、专业能力以</w:t>
      </w:r>
      <w:r>
        <w:rPr/>
        <w:t>及学术规范。</w:t>
      </w:r>
    </w:p>
    <w:p>
      <w:pPr>
        <w:pStyle w:val="BodyText"/>
        <w:spacing w:line="316" w:lineRule="auto"/>
        <w:ind w:right="120" w:firstLine="640"/>
      </w:pPr>
      <w:r>
        <w:rPr/>
        <w:t>（三</w:t>
      </w:r>
      <w:r>
        <w:rPr>
          <w:spacing w:val="-34"/>
        </w:rPr>
        <w:t>）</w:t>
      </w:r>
      <w:r>
        <w:rPr>
          <w:spacing w:val="-3"/>
        </w:rPr>
        <w:t>指导教师要整体把控毕业论文工作进度，统筹安</w:t>
      </w:r>
      <w:r>
        <w:rPr>
          <w:spacing w:val="-9"/>
        </w:rPr>
        <w:t>排好论文答疑、审核时间，通过视频会议、电话、邮件、平</w:t>
      </w:r>
      <w:r>
        <w:rPr>
          <w:spacing w:val="-13"/>
        </w:rPr>
        <w:t>台留言板等方式开展集体或个别指导，在时间条件允许的情</w:t>
      </w:r>
      <w:r>
        <w:rPr>
          <w:spacing w:val="-18"/>
        </w:rPr>
        <w:t>况下，一般应给予学生论文初稿、二稿、终稿三次写作机会， </w:t>
      </w:r>
      <w:r>
        <w:rPr/>
        <w:t>以保证毕业论文质量。</w:t>
      </w:r>
    </w:p>
    <w:p>
      <w:pPr>
        <w:pStyle w:val="BodyText"/>
        <w:spacing w:line="316" w:lineRule="auto"/>
        <w:ind w:right="278" w:firstLine="640"/>
        <w:jc w:val="both"/>
      </w:pPr>
      <w:r>
        <w:rPr/>
        <w:t>（四</w:t>
      </w:r>
      <w:r>
        <w:rPr>
          <w:spacing w:val="-34"/>
        </w:rPr>
        <w:t>）</w:t>
      </w:r>
      <w:r>
        <w:rPr>
          <w:spacing w:val="-4"/>
        </w:rPr>
        <w:t>指导教师要对论文进行全面审核，严把论文政治</w:t>
      </w:r>
      <w:r>
        <w:rPr>
          <w:spacing w:val="-10"/>
        </w:rPr>
        <w:t>关，严格学术规范审查，对符合要求的学生毕业论文终稿进</w:t>
      </w:r>
      <w:r>
        <w:rPr/>
        <w:t>行评阅，给出论文写作成绩和评语。</w:t>
      </w:r>
    </w:p>
    <w:p>
      <w:pPr>
        <w:pStyle w:val="BodyText"/>
        <w:spacing w:line="407" w:lineRule="exact"/>
        <w:ind w:left="383" w:right="439"/>
        <w:jc w:val="center"/>
        <w:rPr>
          <w:rFonts w:ascii="黑体" w:eastAsia="黑体" w:hint="eastAsia"/>
        </w:rPr>
      </w:pPr>
      <w:r>
        <w:rPr>
          <w:rFonts w:ascii="黑体" w:eastAsia="黑体" w:hint="eastAsia"/>
        </w:rPr>
        <w:t>第三章 毕业论文选题、开题与写作</w:t>
      </w:r>
    </w:p>
    <w:p>
      <w:pPr>
        <w:pStyle w:val="BodyText"/>
        <w:spacing w:line="540" w:lineRule="exact" w:before="6"/>
        <w:ind w:right="281" w:firstLine="643"/>
        <w:jc w:val="both"/>
      </w:pPr>
      <w:r>
        <w:rPr>
          <w:rFonts w:ascii="Microsoft JhengHei" w:eastAsia="Microsoft JhengHei" w:hint="eastAsia"/>
          <w:b/>
          <w:spacing w:val="2"/>
        </w:rPr>
        <w:t>第七条 </w:t>
      </w:r>
      <w:r>
        <w:rPr/>
        <w:t>学校每年组织两个批次的毕业论文，一般在每</w:t>
      </w:r>
      <w:r>
        <w:rPr>
          <w:spacing w:val="-9"/>
        </w:rPr>
        <w:t>学期期末启动，学生须提前在选课阶段选修毕业论文，未选</w:t>
      </w:r>
      <w:r>
        <w:rPr/>
        <w:t>课无法参加毕业论文撰写。</w:t>
      </w:r>
    </w:p>
    <w:p>
      <w:pPr>
        <w:pStyle w:val="BodyText"/>
        <w:spacing w:before="6"/>
        <w:ind w:firstLine="643"/>
        <w:jc w:val="both"/>
      </w:pPr>
      <w:r>
        <w:rPr>
          <w:rFonts w:ascii="Microsoft JhengHei" w:eastAsia="Microsoft JhengHei" w:hint="eastAsia"/>
          <w:b/>
          <w:spacing w:val="21"/>
        </w:rPr>
        <w:t>第八条 </w:t>
      </w:r>
      <w:r>
        <w:rPr/>
        <w:t>毕业论文选题、开题、写作环节有严格的时间</w:t>
      </w:r>
    </w:p>
    <w:p>
      <w:pPr>
        <w:pStyle w:val="BodyText"/>
        <w:spacing w:line="316" w:lineRule="auto" w:before="58"/>
        <w:ind w:right="279"/>
        <w:jc w:val="both"/>
      </w:pPr>
      <w:r>
        <w:rPr>
          <w:spacing w:val="-6"/>
        </w:rPr>
        <w:t>要求和提交次数限制，针对自拟题目、开题、写作环节，学</w:t>
      </w:r>
      <w:r>
        <w:rPr>
          <w:spacing w:val="-17"/>
        </w:rPr>
        <w:t>校各提供 </w:t>
      </w:r>
      <w:r>
        <w:rPr/>
        <w:t>3</w:t>
      </w:r>
      <w:r>
        <w:rPr>
          <w:spacing w:val="-14"/>
        </w:rPr>
        <w:t> 次提交机会，学生应在规定时间和次数内完成相</w:t>
      </w:r>
    </w:p>
    <w:p>
      <w:pPr>
        <w:spacing w:after="0" w:line="316" w:lineRule="auto"/>
        <w:jc w:val="both"/>
        <w:sectPr>
          <w:pgSz w:w="11860" w:h="16790"/>
          <w:pgMar w:top="1520" w:bottom="280" w:left="1580" w:right="1520"/>
        </w:sectPr>
      </w:pPr>
    </w:p>
    <w:p>
      <w:pPr>
        <w:pStyle w:val="BodyText"/>
        <w:spacing w:before="29"/>
      </w:pPr>
      <w:r>
        <w:rPr/>
        <w:t>应毕业论文工作。</w:t>
      </w:r>
    </w:p>
    <w:p>
      <w:pPr>
        <w:pStyle w:val="BodyText"/>
        <w:spacing w:line="540" w:lineRule="exact" w:before="18"/>
        <w:ind w:right="279" w:firstLine="643"/>
        <w:jc w:val="both"/>
      </w:pPr>
      <w:r>
        <w:rPr>
          <w:rFonts w:ascii="Microsoft JhengHei" w:eastAsia="Microsoft JhengHei" w:hint="eastAsia"/>
          <w:b/>
          <w:spacing w:val="2"/>
        </w:rPr>
        <w:t>第九条 </w:t>
      </w:r>
      <w:r>
        <w:rPr/>
        <w:t>毕业论文选题是保证毕业论文质量和效果的关</w:t>
      </w:r>
      <w:r>
        <w:rPr>
          <w:spacing w:val="-9"/>
        </w:rPr>
        <w:t>键环节，各专业应提供一定数量的、适合高等学历继续教育</w:t>
      </w:r>
      <w:r>
        <w:rPr>
          <w:spacing w:val="-6"/>
        </w:rPr>
        <w:t>本科学生的论文题目供学生选择，学生也可在选题范围内自</w:t>
      </w:r>
      <w:r>
        <w:rPr/>
        <w:t>行拟定题目，自拟题目须经指导教师审核同意。</w:t>
      </w:r>
    </w:p>
    <w:p>
      <w:pPr>
        <w:pStyle w:val="BodyText"/>
        <w:spacing w:before="7"/>
        <w:ind w:left="863"/>
        <w:jc w:val="both"/>
      </w:pPr>
      <w:r>
        <w:rPr>
          <w:rFonts w:ascii="Microsoft JhengHei" w:eastAsia="Microsoft JhengHei" w:hint="eastAsia"/>
          <w:b/>
        </w:rPr>
        <w:t>第十条 </w:t>
      </w:r>
      <w:r>
        <w:rPr/>
        <w:t>毕业论文选题应遵循以下原则及要求：</w:t>
      </w:r>
    </w:p>
    <w:p>
      <w:pPr>
        <w:pStyle w:val="BodyText"/>
        <w:spacing w:line="316" w:lineRule="auto" w:before="57"/>
        <w:ind w:right="278" w:firstLine="640"/>
        <w:jc w:val="both"/>
      </w:pPr>
      <w:r>
        <w:rPr/>
        <w:t>（一</w:t>
      </w:r>
      <w:r>
        <w:rPr>
          <w:spacing w:val="-34"/>
        </w:rPr>
        <w:t>）</w:t>
      </w:r>
      <w:r>
        <w:rPr>
          <w:spacing w:val="-4"/>
        </w:rPr>
        <w:t>选题应坚持正确的政治方向和价值导向，符合专</w:t>
      </w:r>
      <w:r>
        <w:rPr>
          <w:spacing w:val="-7"/>
        </w:rPr>
        <w:t>业培养目标和教学基本要求，有益于学生综合运用所学的专</w:t>
      </w:r>
      <w:r>
        <w:rPr/>
        <w:t>业理论、知识和技能；</w:t>
      </w:r>
    </w:p>
    <w:p>
      <w:pPr>
        <w:pStyle w:val="BodyText"/>
        <w:spacing w:line="316" w:lineRule="auto"/>
        <w:ind w:right="276" w:firstLine="640"/>
        <w:jc w:val="both"/>
      </w:pPr>
      <w:r>
        <w:rPr/>
        <w:t>（二</w:t>
      </w:r>
      <w:r>
        <w:rPr>
          <w:spacing w:val="-22"/>
        </w:rPr>
        <w:t>）</w:t>
      </w:r>
      <w:r>
        <w:rPr>
          <w:spacing w:val="-7"/>
        </w:rPr>
        <w:t>选题的深度、广度和难度要适当，要考虑到学生</w:t>
      </w:r>
      <w:r>
        <w:rPr>
          <w:spacing w:val="-9"/>
        </w:rPr>
        <w:t>的基础和条件，有较高的可行性，工作量以学生在既定时间</w:t>
      </w:r>
      <w:r>
        <w:rPr/>
        <w:t>内经过努力能基本完成为宜；</w:t>
      </w:r>
    </w:p>
    <w:p>
      <w:pPr>
        <w:pStyle w:val="BodyText"/>
        <w:spacing w:line="316" w:lineRule="auto"/>
        <w:ind w:right="118" w:firstLine="640"/>
      </w:pPr>
      <w:r>
        <w:rPr/>
        <w:t>（三</w:t>
      </w:r>
      <w:r>
        <w:rPr>
          <w:spacing w:val="-116"/>
        </w:rPr>
        <w:t>）</w:t>
      </w:r>
      <w:r>
        <w:rPr>
          <w:spacing w:val="-10"/>
        </w:rPr>
        <w:t>选题要有科研价值和现实意义，应尽可能与工程、</w:t>
      </w:r>
      <w:r>
        <w:rPr>
          <w:spacing w:val="-8"/>
        </w:rPr>
        <w:t>生产、管理、科研和社会实际问题相结合，鼓励学生根据个</w:t>
      </w:r>
      <w:r>
        <w:rPr>
          <w:spacing w:val="-12"/>
        </w:rPr>
        <w:t>人特点和专长，结合所在地区、行业和单位实际工作进行选题；</w:t>
      </w:r>
    </w:p>
    <w:p>
      <w:pPr>
        <w:pStyle w:val="BodyText"/>
        <w:spacing w:line="316" w:lineRule="auto"/>
        <w:ind w:right="278" w:firstLine="640"/>
        <w:jc w:val="both"/>
      </w:pPr>
      <w:r>
        <w:rPr/>
        <w:t>（四</w:t>
      </w:r>
      <w:r>
        <w:rPr>
          <w:spacing w:val="-34"/>
        </w:rPr>
        <w:t>）</w:t>
      </w:r>
      <w:r>
        <w:rPr>
          <w:spacing w:val="-4"/>
        </w:rPr>
        <w:t>选题应贯彻因材施教原则，充分调动学生的自主</w:t>
      </w:r>
      <w:r>
        <w:rPr>
          <w:spacing w:val="-9"/>
        </w:rPr>
        <w:t>性和创造性，对部分优秀学生可适当提高要求，鼓励其有所</w:t>
      </w:r>
      <w:r>
        <w:rPr/>
        <w:t>创新；</w:t>
      </w:r>
    </w:p>
    <w:p>
      <w:pPr>
        <w:pStyle w:val="BodyText"/>
        <w:spacing w:line="316" w:lineRule="auto"/>
        <w:ind w:right="278" w:firstLine="640"/>
        <w:jc w:val="both"/>
      </w:pPr>
      <w:r>
        <w:rPr/>
        <w:t>（五</w:t>
      </w:r>
      <w:r>
        <w:rPr>
          <w:spacing w:val="-17"/>
        </w:rPr>
        <w:t>）</w:t>
      </w:r>
      <w:r>
        <w:rPr>
          <w:spacing w:val="-6"/>
        </w:rPr>
        <w:t>选题要一人一题，独立完成，一经选定，不得任</w:t>
      </w:r>
      <w:r>
        <w:rPr>
          <w:spacing w:val="-9"/>
        </w:rPr>
        <w:t>意变动，如因特殊情况需要变更的，应由学生提出申请，经</w:t>
      </w:r>
      <w:r>
        <w:rPr/>
        <w:t>指导教师审核同意。</w:t>
      </w:r>
    </w:p>
    <w:p>
      <w:pPr>
        <w:spacing w:line="479" w:lineRule="exact" w:before="0"/>
        <w:ind w:left="863" w:right="0" w:firstLine="0"/>
        <w:jc w:val="left"/>
        <w:rPr>
          <w:sz w:val="32"/>
        </w:rPr>
      </w:pPr>
      <w:r>
        <w:rPr>
          <w:rFonts w:ascii="Microsoft JhengHei" w:eastAsia="Microsoft JhengHei" w:hint="eastAsia"/>
          <w:b/>
          <w:sz w:val="32"/>
        </w:rPr>
        <w:t>第十一条 </w:t>
      </w:r>
      <w:r>
        <w:rPr>
          <w:sz w:val="32"/>
        </w:rPr>
        <w:t>选题确定后，学生在指导教师的指导下按照</w:t>
      </w:r>
    </w:p>
    <w:p>
      <w:pPr>
        <w:pStyle w:val="BodyText"/>
        <w:spacing w:line="316" w:lineRule="auto" w:before="43"/>
        <w:ind w:right="210"/>
      </w:pPr>
      <w:r>
        <w:rPr/>
        <w:t>《山东大学高等学历继续教育本科毕业论文开题报告模板》要求撰写开题报告，对研究课题作进一步论证和系统设计。</w:t>
      </w:r>
    </w:p>
    <w:p>
      <w:pPr>
        <w:spacing w:after="0" w:line="316" w:lineRule="auto"/>
        <w:sectPr>
          <w:pgSz w:w="11860" w:h="16790"/>
          <w:pgMar w:top="1520" w:bottom="280" w:left="1580" w:right="1520"/>
        </w:sectPr>
      </w:pPr>
    </w:p>
    <w:p>
      <w:pPr>
        <w:spacing w:line="512" w:lineRule="exact" w:before="0"/>
        <w:ind w:left="863" w:right="0" w:firstLine="0"/>
        <w:jc w:val="both"/>
        <w:rPr>
          <w:sz w:val="32"/>
        </w:rPr>
      </w:pPr>
      <w:r>
        <w:rPr>
          <w:rFonts w:ascii="Microsoft JhengHei" w:eastAsia="Microsoft JhengHei" w:hint="eastAsia"/>
          <w:b/>
          <w:sz w:val="32"/>
        </w:rPr>
        <w:t>第十二条 </w:t>
      </w:r>
      <w:r>
        <w:rPr>
          <w:sz w:val="32"/>
        </w:rPr>
        <w:t>毕业论文写作格式须符合《山东大学高等学</w:t>
      </w:r>
    </w:p>
    <w:p>
      <w:pPr>
        <w:pStyle w:val="BodyText"/>
        <w:spacing w:line="316" w:lineRule="auto" w:before="57"/>
        <w:ind w:right="281"/>
        <w:jc w:val="both"/>
      </w:pPr>
      <w:r>
        <w:rPr>
          <w:spacing w:val="-6"/>
        </w:rPr>
        <w:t>历继续教育本科毕业论文撰写规范》要求，正文字数应不少</w:t>
      </w:r>
      <w:r>
        <w:rPr>
          <w:spacing w:val="-40"/>
        </w:rPr>
        <w:t>于 </w:t>
      </w:r>
      <w:r>
        <w:rPr/>
        <w:t>5000</w:t>
      </w:r>
      <w:r>
        <w:rPr>
          <w:spacing w:val="-28"/>
        </w:rPr>
        <w:t> 字。</w:t>
      </w:r>
    </w:p>
    <w:p>
      <w:pPr>
        <w:spacing w:line="480" w:lineRule="exact" w:before="0"/>
        <w:ind w:left="863" w:right="0" w:firstLine="0"/>
        <w:jc w:val="both"/>
        <w:rPr>
          <w:sz w:val="32"/>
        </w:rPr>
      </w:pPr>
      <w:r>
        <w:rPr>
          <w:rFonts w:ascii="Microsoft JhengHei" w:eastAsia="Microsoft JhengHei" w:hint="eastAsia"/>
          <w:b/>
          <w:sz w:val="32"/>
        </w:rPr>
        <w:t>第十三条 </w:t>
      </w:r>
      <w:r>
        <w:rPr>
          <w:sz w:val="32"/>
        </w:rPr>
        <w:t>重复率检测</w:t>
      </w:r>
    </w:p>
    <w:p>
      <w:pPr>
        <w:pStyle w:val="BodyText"/>
        <w:spacing w:line="316" w:lineRule="auto" w:before="57"/>
        <w:ind w:right="278" w:firstLine="640"/>
        <w:jc w:val="both"/>
      </w:pPr>
      <w:r>
        <w:rPr/>
        <w:t>（一</w:t>
      </w:r>
      <w:r>
        <w:rPr>
          <w:spacing w:val="-34"/>
        </w:rPr>
        <w:t>）</w:t>
      </w:r>
      <w:r>
        <w:rPr>
          <w:spacing w:val="-4"/>
        </w:rPr>
        <w:t>学生提交毕业论文的同时，还应通过学习平台提</w:t>
      </w:r>
      <w:r>
        <w:rPr>
          <w:spacing w:val="-6"/>
        </w:rPr>
        <w:t>供的论文检测系统进行重复率检测，提交全文查重报告，毕业论文允许的重复率上限为 </w:t>
      </w:r>
      <w:r>
        <w:rPr/>
        <w:t>30%。</w:t>
      </w:r>
    </w:p>
    <w:p>
      <w:pPr>
        <w:pStyle w:val="BodyText"/>
        <w:spacing w:line="316" w:lineRule="auto"/>
        <w:ind w:right="281" w:firstLine="640"/>
      </w:pPr>
      <w:r>
        <w:rPr/>
        <w:t>（二</w:t>
      </w:r>
      <w:r>
        <w:rPr>
          <w:spacing w:val="-70"/>
        </w:rPr>
        <w:t>）</w:t>
      </w:r>
      <w:r>
        <w:rPr>
          <w:spacing w:val="-1"/>
        </w:rPr>
        <w:t>查重报告仅作为预防学术不端行为的手段供指导</w:t>
      </w:r>
      <w:r>
        <w:rPr/>
        <w:t>教师参考，是否存在抄袭需由指导教师综合判定。</w:t>
      </w:r>
    </w:p>
    <w:p>
      <w:pPr>
        <w:spacing w:line="480" w:lineRule="exact" w:before="0"/>
        <w:ind w:left="863" w:right="0" w:firstLine="0"/>
        <w:jc w:val="left"/>
        <w:rPr>
          <w:sz w:val="32"/>
        </w:rPr>
      </w:pPr>
      <w:r>
        <w:rPr>
          <w:rFonts w:ascii="Microsoft JhengHei" w:eastAsia="Microsoft JhengHei" w:hint="eastAsia"/>
          <w:b/>
          <w:sz w:val="32"/>
        </w:rPr>
        <w:t>第十四条 </w:t>
      </w:r>
      <w:r>
        <w:rPr>
          <w:sz w:val="32"/>
        </w:rPr>
        <w:t>各专业指导教师可根据本专业特点确定更高</w:t>
      </w:r>
    </w:p>
    <w:p>
      <w:pPr>
        <w:pStyle w:val="BodyText"/>
        <w:spacing w:before="54"/>
      </w:pPr>
      <w:r>
        <w:rPr/>
        <w:t>标准的毕业论文字数和重复率要求。</w:t>
      </w:r>
    </w:p>
    <w:p>
      <w:pPr>
        <w:pStyle w:val="BodyText"/>
        <w:spacing w:before="131"/>
        <w:ind w:left="383" w:right="441"/>
        <w:jc w:val="center"/>
        <w:rPr>
          <w:rFonts w:ascii="黑体" w:eastAsia="黑体" w:hint="eastAsia"/>
        </w:rPr>
      </w:pPr>
      <w:r>
        <w:rPr>
          <w:rFonts w:ascii="黑体" w:eastAsia="黑体" w:hint="eastAsia"/>
        </w:rPr>
        <w:t>第四章 毕业论文答辩</w:t>
      </w:r>
    </w:p>
    <w:p>
      <w:pPr>
        <w:pStyle w:val="BodyText"/>
        <w:spacing w:line="540" w:lineRule="exact" w:before="18"/>
        <w:ind w:right="211" w:firstLine="643"/>
        <w:jc w:val="both"/>
      </w:pPr>
      <w:r>
        <w:rPr>
          <w:rFonts w:ascii="Microsoft JhengHei" w:eastAsia="Microsoft JhengHei" w:hint="eastAsia"/>
          <w:b/>
        </w:rPr>
        <w:t>第十五条 </w:t>
      </w:r>
      <w:r>
        <w:rPr/>
        <w:t>毕业论文写作成绩及格的学生可在规定时间内通过平台提交答辩申请，其中申请学位的学生必须答辩， 其他学生可自愿申请。</w:t>
      </w:r>
    </w:p>
    <w:p>
      <w:pPr>
        <w:pStyle w:val="BodyText"/>
        <w:spacing w:line="264" w:lineRule="auto" w:before="6"/>
        <w:ind w:right="210" w:firstLine="643"/>
      </w:pPr>
      <w:r>
        <w:rPr>
          <w:rFonts w:ascii="Microsoft JhengHei" w:eastAsia="Microsoft JhengHei" w:hint="eastAsia"/>
          <w:b/>
        </w:rPr>
        <w:t>第十六条 </w:t>
      </w:r>
      <w:r>
        <w:rPr/>
        <w:t>每个毕业论文批次只有一次答辩机会，学生因特殊情况无法按时参加答辩的，须在答辩前提交书面延期</w:t>
      </w:r>
    </w:p>
    <w:p>
      <w:pPr>
        <w:pStyle w:val="BodyText"/>
        <w:spacing w:line="316" w:lineRule="auto" w:before="88"/>
        <w:ind w:right="210"/>
      </w:pPr>
      <w:r>
        <w:rPr/>
        <w:t>答辩申请，经继续教育学院审批同意后参加下一批次毕业论文答辩，延期答辩仅限一次。</w:t>
      </w:r>
    </w:p>
    <w:p>
      <w:pPr>
        <w:spacing w:line="480" w:lineRule="exact" w:before="0"/>
        <w:ind w:left="863" w:right="0" w:firstLine="0"/>
        <w:jc w:val="left"/>
        <w:rPr>
          <w:sz w:val="32"/>
        </w:rPr>
      </w:pPr>
      <w:r>
        <w:rPr>
          <w:rFonts w:ascii="Microsoft JhengHei" w:eastAsia="Microsoft JhengHei" w:hint="eastAsia"/>
          <w:b/>
          <w:spacing w:val="2"/>
          <w:sz w:val="32"/>
        </w:rPr>
        <w:t>第十七条  </w:t>
      </w:r>
      <w:r>
        <w:rPr>
          <w:sz w:val="32"/>
        </w:rPr>
        <w:t>各教学单位根据需要设立若干答辩小组，具</w:t>
      </w:r>
    </w:p>
    <w:p>
      <w:pPr>
        <w:pStyle w:val="BodyText"/>
        <w:spacing w:before="57"/>
      </w:pPr>
      <w:r>
        <w:rPr>
          <w:spacing w:val="-13"/>
        </w:rPr>
        <w:t>体负责答辩工作，答辩小组一般由 </w:t>
      </w:r>
      <w:r>
        <w:rPr/>
        <w:t>2-3</w:t>
      </w:r>
      <w:r>
        <w:rPr>
          <w:spacing w:val="-10"/>
        </w:rPr>
        <w:t> 名中级以上职称教师</w:t>
      </w:r>
    </w:p>
    <w:p>
      <w:pPr>
        <w:pStyle w:val="BodyText"/>
        <w:spacing w:line="254" w:lineRule="auto" w:before="130"/>
        <w:ind w:left="863" w:right="2771" w:hanging="644"/>
      </w:pPr>
      <w:r>
        <w:rPr>
          <w:spacing w:val="-12"/>
        </w:rPr>
        <w:t>组成，至少有 </w:t>
      </w:r>
      <w:r>
        <w:rPr/>
        <w:t>1</w:t>
      </w:r>
      <w:r>
        <w:rPr>
          <w:spacing w:val="-11"/>
        </w:rPr>
        <w:t> 名副高级以上职称教师。</w:t>
      </w:r>
      <w:r>
        <w:rPr>
          <w:rFonts w:ascii="Microsoft JhengHei" w:eastAsia="Microsoft JhengHei" w:hint="eastAsia"/>
          <w:b/>
        </w:rPr>
        <w:t>第十八条 </w:t>
      </w:r>
      <w:r>
        <w:rPr/>
        <w:t>毕业论文答辩程序</w:t>
      </w:r>
    </w:p>
    <w:p>
      <w:pPr>
        <w:pStyle w:val="BodyText"/>
        <w:spacing w:line="316" w:lineRule="auto" w:before="22"/>
        <w:ind w:right="118" w:firstLine="640"/>
      </w:pPr>
      <w:r>
        <w:rPr/>
        <w:t>（一</w:t>
      </w:r>
      <w:r>
        <w:rPr>
          <w:spacing w:val="-116"/>
        </w:rPr>
        <w:t>）</w:t>
      </w:r>
      <w:r>
        <w:rPr>
          <w:spacing w:val="-12"/>
        </w:rPr>
        <w:t>答辩学生进行自我介绍，并作毕业论文阐述报告， </w:t>
      </w:r>
      <w:r>
        <w:rPr>
          <w:spacing w:val="-5"/>
        </w:rPr>
        <w:t>主要阐述论文选题的目的、意义、主要内容、研究成果及结</w:t>
      </w:r>
    </w:p>
    <w:p>
      <w:pPr>
        <w:spacing w:after="0" w:line="316" w:lineRule="auto"/>
        <w:sectPr>
          <w:pgSz w:w="11860" w:h="16790"/>
          <w:pgMar w:top="1520" w:bottom="280" w:left="1580" w:right="1520"/>
        </w:sectPr>
      </w:pPr>
    </w:p>
    <w:p>
      <w:pPr>
        <w:pStyle w:val="BodyText"/>
        <w:spacing w:before="29"/>
      </w:pPr>
      <w:r>
        <w:rPr/>
        <w:t>论等，时间控制在 5 分钟内。</w:t>
      </w:r>
    </w:p>
    <w:p>
      <w:pPr>
        <w:pStyle w:val="BodyText"/>
        <w:spacing w:line="316" w:lineRule="auto" w:before="130"/>
        <w:ind w:right="118" w:firstLine="640"/>
      </w:pPr>
      <w:r>
        <w:rPr/>
        <w:t>（二</w:t>
      </w:r>
      <w:r>
        <w:rPr>
          <w:spacing w:val="-116"/>
        </w:rPr>
        <w:t>）</w:t>
      </w:r>
      <w:r>
        <w:rPr>
          <w:spacing w:val="-8"/>
        </w:rPr>
        <w:t>答辩教师就毕业论文有关的专业知识、研究方法、</w:t>
      </w:r>
      <w:r>
        <w:rPr>
          <w:spacing w:val="-7"/>
        </w:rPr>
        <w:t>关键问题等向学生提问，综合考察学生的专业水平和对论文</w:t>
      </w:r>
      <w:r>
        <w:rPr>
          <w:spacing w:val="-14"/>
        </w:rPr>
        <w:t>的熟悉程度，时间控制在 </w:t>
      </w:r>
      <w:r>
        <w:rPr/>
        <w:t>10</w:t>
      </w:r>
      <w:r>
        <w:rPr>
          <w:spacing w:val="-15"/>
        </w:rPr>
        <w:t> 分钟左右。</w:t>
      </w:r>
    </w:p>
    <w:p>
      <w:pPr>
        <w:pStyle w:val="BodyText"/>
        <w:spacing w:line="316" w:lineRule="auto"/>
        <w:ind w:right="281" w:firstLine="640"/>
      </w:pPr>
      <w:r>
        <w:rPr/>
        <w:t>（三</w:t>
      </w:r>
      <w:r>
        <w:rPr>
          <w:spacing w:val="-70"/>
        </w:rPr>
        <w:t>）</w:t>
      </w:r>
      <w:r>
        <w:rPr>
          <w:spacing w:val="-1"/>
        </w:rPr>
        <w:t>答辩小组对学生的毕业论文完成质量和答辩情况</w:t>
      </w:r>
      <w:r>
        <w:rPr/>
        <w:t>进行评价，给出答辩成绩和评语。</w:t>
      </w:r>
    </w:p>
    <w:p>
      <w:pPr>
        <w:pStyle w:val="BodyText"/>
        <w:spacing w:line="408" w:lineRule="exact"/>
        <w:ind w:left="383" w:right="438"/>
        <w:jc w:val="center"/>
        <w:rPr>
          <w:rFonts w:ascii="黑体" w:eastAsia="黑体" w:hint="eastAsia"/>
        </w:rPr>
      </w:pPr>
      <w:r>
        <w:rPr>
          <w:rFonts w:ascii="黑体" w:eastAsia="黑体" w:hint="eastAsia"/>
        </w:rPr>
        <w:t>第五章 成绩评定</w:t>
      </w:r>
    </w:p>
    <w:p>
      <w:pPr>
        <w:pStyle w:val="BodyText"/>
        <w:spacing w:line="264" w:lineRule="auto" w:before="21"/>
        <w:ind w:right="282" w:firstLine="643"/>
      </w:pPr>
      <w:r>
        <w:rPr>
          <w:rFonts w:ascii="Microsoft JhengHei" w:eastAsia="Microsoft JhengHei" w:hint="eastAsia"/>
          <w:b/>
        </w:rPr>
        <w:t>第十九条 </w:t>
      </w:r>
      <w:r>
        <w:rPr/>
        <w:t>毕业论文写作成绩、答辩成绩和总评成绩均采用百分制评定和记载。总评成绩的确定规则如下：</w:t>
      </w:r>
    </w:p>
    <w:p>
      <w:pPr>
        <w:pStyle w:val="BodyText"/>
        <w:spacing w:before="87"/>
        <w:ind w:left="861"/>
      </w:pPr>
      <w:r>
        <w:rPr/>
        <w:t>（一）未参加答辩的学生，写作成绩即为总评成绩；</w:t>
      </w:r>
    </w:p>
    <w:p>
      <w:pPr>
        <w:pStyle w:val="BodyText"/>
        <w:spacing w:line="316" w:lineRule="auto" w:before="130"/>
        <w:ind w:right="278" w:firstLine="640"/>
      </w:pPr>
      <w:r>
        <w:rPr/>
        <w:t>（二）参加答辩且答辩成绩及格的学生，总评成绩</w:t>
      </w:r>
      <w:r>
        <w:rPr>
          <w:rFonts w:ascii="Times New Roman" w:hAnsi="Times New Roman" w:eastAsia="Times New Roman"/>
        </w:rPr>
        <w:t>=</w:t>
      </w:r>
      <w:r>
        <w:rPr/>
        <w:t>写作成绩×</w:t>
      </w:r>
      <w:r>
        <w:rPr>
          <w:rFonts w:ascii="Times New Roman" w:hAnsi="Times New Roman" w:eastAsia="Times New Roman"/>
        </w:rPr>
        <w:t>60%+</w:t>
      </w:r>
      <w:r>
        <w:rPr/>
        <w:t>答辩成绩×</w:t>
      </w:r>
      <w:r>
        <w:rPr>
          <w:rFonts w:ascii="Times New Roman" w:hAnsi="Times New Roman" w:eastAsia="Times New Roman"/>
        </w:rPr>
        <w:t>40%</w:t>
      </w:r>
      <w:r>
        <w:rPr/>
        <w:t>；</w:t>
      </w:r>
    </w:p>
    <w:p>
      <w:pPr>
        <w:pStyle w:val="BodyText"/>
        <w:spacing w:line="316" w:lineRule="auto"/>
        <w:ind w:right="209" w:firstLine="640"/>
      </w:pPr>
      <w:r>
        <w:rPr/>
        <w:t>（三）写作未通过，或写作通过但答辩成绩不及格的学生，总评成绩记为 </w:t>
      </w:r>
      <w:r>
        <w:rPr>
          <w:rFonts w:ascii="Times New Roman" w:eastAsia="Times New Roman"/>
        </w:rPr>
        <w:t>0 </w:t>
      </w:r>
      <w:r>
        <w:rPr/>
        <w:t>分。</w:t>
      </w:r>
    </w:p>
    <w:p>
      <w:pPr>
        <w:spacing w:line="480" w:lineRule="exact" w:before="0"/>
        <w:ind w:left="863" w:right="0" w:firstLine="0"/>
        <w:jc w:val="left"/>
        <w:rPr>
          <w:sz w:val="32"/>
        </w:rPr>
      </w:pPr>
      <w:r>
        <w:rPr>
          <w:rFonts w:ascii="Microsoft JhengHei" w:eastAsia="Microsoft JhengHei" w:hint="eastAsia"/>
          <w:b/>
          <w:sz w:val="32"/>
        </w:rPr>
        <w:t>第二十条 </w:t>
      </w:r>
      <w:r>
        <w:rPr>
          <w:sz w:val="32"/>
        </w:rPr>
        <w:t>毕业论文写作成绩评定标准</w:t>
      </w:r>
    </w:p>
    <w:p>
      <w:pPr>
        <w:pStyle w:val="BodyText"/>
        <w:spacing w:line="316" w:lineRule="auto" w:before="55"/>
        <w:ind w:right="282" w:firstLine="640"/>
        <w:jc w:val="both"/>
      </w:pPr>
      <w:r>
        <w:rPr/>
        <w:pict>
          <v:shapetype id="_x0000_t202" o:spt="202" coordsize="21600,21600" path="m,l,21600r21600,l21600,xe">
            <v:stroke joinstyle="miter"/>
            <v:path gradientshapeok="t" o:connecttype="rect"/>
          </v:shapetype>
          <v:shape style="position:absolute;margin-left:86.783997pt;margin-top:78.180008pt;width:419.4pt;height:189.3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7"/>
                    <w:gridCol w:w="7036"/>
                  </w:tblGrid>
                  <w:tr>
                    <w:trPr>
                      <w:trHeight w:val="1074" w:hRule="atLeast"/>
                    </w:trPr>
                    <w:tc>
                      <w:tcPr>
                        <w:tcW w:w="1337" w:type="dxa"/>
                      </w:tcPr>
                      <w:p>
                        <w:pPr>
                          <w:pStyle w:val="TableParagraph"/>
                          <w:spacing w:line="520" w:lineRule="exact" w:before="1"/>
                          <w:ind w:left="395" w:right="286"/>
                          <w:rPr>
                            <w:sz w:val="32"/>
                          </w:rPr>
                        </w:pPr>
                        <w:r>
                          <w:rPr>
                            <w:sz w:val="32"/>
                          </w:rPr>
                          <w:t>评价指标</w:t>
                        </w:r>
                      </w:p>
                    </w:tc>
                    <w:tc>
                      <w:tcPr>
                        <w:tcW w:w="7036" w:type="dxa"/>
                      </w:tcPr>
                      <w:p>
                        <w:pPr>
                          <w:pStyle w:val="TableParagraph"/>
                          <w:spacing w:before="10"/>
                          <w:ind w:left="0"/>
                          <w:rPr>
                            <w:sz w:val="27"/>
                          </w:rPr>
                        </w:pPr>
                      </w:p>
                      <w:p>
                        <w:pPr>
                          <w:pStyle w:val="TableParagraph"/>
                          <w:ind w:left="351" w:right="246"/>
                          <w:jc w:val="center"/>
                          <w:rPr>
                            <w:sz w:val="32"/>
                          </w:rPr>
                        </w:pPr>
                        <w:r>
                          <w:rPr>
                            <w:sz w:val="32"/>
                          </w:rPr>
                          <w:t>评价内涵</w:t>
                        </w:r>
                      </w:p>
                    </w:tc>
                  </w:tr>
                  <w:tr>
                    <w:trPr>
                      <w:trHeight w:val="2116" w:hRule="atLeast"/>
                    </w:trPr>
                    <w:tc>
                      <w:tcPr>
                        <w:tcW w:w="1337" w:type="dxa"/>
                      </w:tcPr>
                      <w:p>
                        <w:pPr>
                          <w:pStyle w:val="TableParagraph"/>
                          <w:ind w:left="0"/>
                          <w:rPr>
                            <w:sz w:val="32"/>
                          </w:rPr>
                        </w:pPr>
                      </w:p>
                      <w:p>
                        <w:pPr>
                          <w:pStyle w:val="TableParagraph"/>
                          <w:spacing w:line="302" w:lineRule="auto" w:before="208"/>
                          <w:ind w:left="395" w:right="130" w:hanging="161"/>
                          <w:rPr>
                            <w:sz w:val="32"/>
                          </w:rPr>
                        </w:pPr>
                        <w:r>
                          <w:rPr>
                            <w:sz w:val="32"/>
                          </w:rPr>
                          <w:t>否决性指标</w:t>
                        </w:r>
                      </w:p>
                    </w:tc>
                    <w:tc>
                      <w:tcPr>
                        <w:tcW w:w="7036" w:type="dxa"/>
                      </w:tcPr>
                      <w:p>
                        <w:pPr>
                          <w:pStyle w:val="TableParagraph"/>
                          <w:spacing w:line="304" w:lineRule="auto" w:before="97"/>
                          <w:ind w:right="4"/>
                          <w:rPr>
                            <w:sz w:val="32"/>
                          </w:rPr>
                        </w:pPr>
                        <w:r>
                          <w:rPr>
                            <w:sz w:val="32"/>
                          </w:rPr>
                          <w:t>1.</w:t>
                        </w:r>
                        <w:r>
                          <w:rPr>
                            <w:spacing w:val="-10"/>
                            <w:sz w:val="32"/>
                          </w:rPr>
                          <w:t>有违背党和国家相关政策方针、法律法规，违背</w:t>
                        </w:r>
                        <w:r>
                          <w:rPr>
                            <w:sz w:val="32"/>
                          </w:rPr>
                          <w:t>社会主义核心价值观，违背社会公序良俗的内容2.</w:t>
                        </w:r>
                        <w:r>
                          <w:rPr>
                            <w:spacing w:val="-13"/>
                            <w:sz w:val="32"/>
                          </w:rPr>
                          <w:t>出现抄袭、剽窃、伪造、篡改、买卖、代写等学</w:t>
                        </w:r>
                      </w:p>
                      <w:p>
                        <w:pPr>
                          <w:pStyle w:val="TableParagraph"/>
                          <w:spacing w:line="408" w:lineRule="exact"/>
                          <w:rPr>
                            <w:sz w:val="32"/>
                          </w:rPr>
                        </w:pPr>
                        <w:r>
                          <w:rPr>
                            <w:sz w:val="32"/>
                          </w:rPr>
                          <w:t>术不端行为。</w:t>
                        </w:r>
                      </w:p>
                    </w:tc>
                  </w:tr>
                  <w:tr>
                    <w:trPr>
                      <w:trHeight w:val="554" w:hRule="atLeast"/>
                    </w:trPr>
                    <w:tc>
                      <w:tcPr>
                        <w:tcW w:w="1337" w:type="dxa"/>
                      </w:tcPr>
                      <w:p>
                        <w:pPr>
                          <w:pStyle w:val="TableParagraph"/>
                          <w:spacing w:before="95"/>
                          <w:ind w:left="395"/>
                          <w:rPr>
                            <w:sz w:val="32"/>
                          </w:rPr>
                        </w:pPr>
                        <w:r>
                          <w:rPr>
                            <w:sz w:val="32"/>
                          </w:rPr>
                          <w:t>能力</w:t>
                        </w:r>
                      </w:p>
                    </w:tc>
                    <w:tc>
                      <w:tcPr>
                        <w:tcW w:w="7036" w:type="dxa"/>
                      </w:tcPr>
                      <w:p>
                        <w:pPr>
                          <w:pStyle w:val="TableParagraph"/>
                          <w:spacing w:before="95"/>
                          <w:ind w:left="351" w:right="250"/>
                          <w:jc w:val="center"/>
                          <w:rPr>
                            <w:sz w:val="32"/>
                          </w:rPr>
                        </w:pPr>
                        <w:r>
                          <w:rPr>
                            <w:w w:val="95"/>
                            <w:sz w:val="32"/>
                          </w:rPr>
                          <w:t>1.选题符合专业培养目标，注重与学科发展或行</w:t>
                        </w:r>
                      </w:p>
                    </w:tc>
                  </w:tr>
                </w:tbl>
                <w:p>
                  <w:pPr>
                    <w:pStyle w:val="BodyText"/>
                    <w:ind w:left="0"/>
                  </w:pPr>
                </w:p>
              </w:txbxContent>
            </v:textbox>
            <w10:wrap type="none"/>
          </v:shape>
        </w:pict>
      </w:r>
      <w:r>
        <w:rPr>
          <w:spacing w:val="-5"/>
        </w:rPr>
        <w:t>指导教师参照以下指标酌情评定学生论文写作成绩，未</w:t>
      </w:r>
      <w:r>
        <w:rPr>
          <w:spacing w:val="-13"/>
        </w:rPr>
        <w:t>达到 </w:t>
      </w:r>
      <w:r>
        <w:rPr>
          <w:rFonts w:ascii="Times New Roman" w:hAnsi="Times New Roman" w:eastAsia="Times New Roman"/>
        </w:rPr>
        <w:t>60 </w:t>
      </w:r>
      <w:r>
        <w:rPr>
          <w:spacing w:val="-1"/>
        </w:rPr>
        <w:t>分的按“写作未通过”处理。如论文出现“否决性</w:t>
      </w:r>
      <w:r>
        <w:rPr/>
        <w:t>指标”所列问题中的任意一个，一律不予通过。</w:t>
      </w:r>
    </w:p>
    <w:p>
      <w:pPr>
        <w:pStyle w:val="BodyText"/>
        <w:ind w:left="0"/>
      </w:pPr>
    </w:p>
    <w:p>
      <w:pPr>
        <w:pStyle w:val="BodyText"/>
        <w:ind w:left="0"/>
      </w:pPr>
    </w:p>
    <w:p>
      <w:pPr>
        <w:pStyle w:val="BodyText"/>
        <w:ind w:left="0"/>
      </w:pPr>
    </w:p>
    <w:p>
      <w:pPr>
        <w:pStyle w:val="BodyText"/>
        <w:spacing w:before="9"/>
        <w:ind w:left="0"/>
        <w:rPr>
          <w:sz w:val="28"/>
        </w:rPr>
      </w:pPr>
    </w:p>
    <w:p>
      <w:pPr>
        <w:pStyle w:val="BodyText"/>
        <w:ind w:left="0" w:right="105"/>
        <w:jc w:val="right"/>
      </w:pPr>
      <w:r>
        <w:rPr>
          <w:w w:val="99"/>
        </w:rPr>
        <w:t>；</w:t>
      </w:r>
    </w:p>
    <w:p>
      <w:pPr>
        <w:spacing w:after="0"/>
        <w:jc w:val="right"/>
        <w:sectPr>
          <w:pgSz w:w="11860" w:h="16790"/>
          <w:pgMar w:top="1520" w:bottom="280" w:left="1580" w:right="15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5"/>
        </w:rPr>
      </w:pPr>
    </w:p>
    <w:p>
      <w:pPr>
        <w:pStyle w:val="BodyText"/>
        <w:spacing w:before="54"/>
        <w:ind w:left="8324"/>
      </w:pPr>
      <w:r>
        <w:rPr/>
        <w:pict>
          <v:shape style="position:absolute;margin-left:86.783997pt;margin-top:-54.639992pt;width:419.4pt;height:423.35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7"/>
                    <w:gridCol w:w="7036"/>
                  </w:tblGrid>
                  <w:tr>
                    <w:trPr>
                      <w:trHeight w:val="4716" w:hRule="atLeast"/>
                    </w:trPr>
                    <w:tc>
                      <w:tcPr>
                        <w:tcW w:w="1337" w:type="dxa"/>
                      </w:tcPr>
                      <w:p>
                        <w:pPr>
                          <w:pStyle w:val="TableParagraph"/>
                          <w:spacing w:before="97"/>
                          <w:ind w:left="395"/>
                          <w:rPr>
                            <w:sz w:val="32"/>
                          </w:rPr>
                        </w:pPr>
                        <w:r>
                          <w:rPr>
                            <w:sz w:val="32"/>
                          </w:rPr>
                          <w:t>水平</w:t>
                        </w:r>
                      </w:p>
                      <w:p>
                        <w:pPr>
                          <w:pStyle w:val="TableParagraph"/>
                          <w:spacing w:before="111"/>
                          <w:rPr>
                            <w:sz w:val="32"/>
                          </w:rPr>
                        </w:pPr>
                        <w:r>
                          <w:rPr>
                            <w:sz w:val="32"/>
                          </w:rPr>
                          <w:t>（50</w:t>
                        </w:r>
                        <w:r>
                          <w:rPr>
                            <w:spacing w:val="-40"/>
                            <w:sz w:val="32"/>
                          </w:rPr>
                          <w:t> 分</w:t>
                        </w:r>
                      </w:p>
                    </w:tc>
                    <w:tc>
                      <w:tcPr>
                        <w:tcW w:w="7036" w:type="dxa"/>
                      </w:tcPr>
                      <w:p>
                        <w:pPr>
                          <w:pStyle w:val="TableParagraph"/>
                          <w:spacing w:before="97"/>
                          <w:rPr>
                            <w:sz w:val="32"/>
                          </w:rPr>
                        </w:pPr>
                        <w:r>
                          <w:rPr>
                            <w:spacing w:val="-12"/>
                            <w:sz w:val="32"/>
                          </w:rPr>
                          <w:t>业、社会实际的结合，具有一定的理论意义或现实</w:t>
                        </w:r>
                      </w:p>
                      <w:p>
                        <w:pPr>
                          <w:pStyle w:val="TableParagraph"/>
                          <w:spacing w:before="111"/>
                          <w:ind w:left="-164"/>
                          <w:rPr>
                            <w:sz w:val="32"/>
                          </w:rPr>
                        </w:pPr>
                        <w:r>
                          <w:rPr>
                            <w:sz w:val="32"/>
                          </w:rPr>
                          <w:t>）意义；</w:t>
                        </w:r>
                      </w:p>
                      <w:p>
                        <w:pPr>
                          <w:pStyle w:val="TableParagraph"/>
                          <w:numPr>
                            <w:ilvl w:val="0"/>
                            <w:numId w:val="1"/>
                          </w:numPr>
                          <w:tabs>
                            <w:tab w:pos="430" w:val="left" w:leader="none"/>
                          </w:tabs>
                          <w:spacing w:line="304" w:lineRule="auto" w:before="109" w:after="0"/>
                          <w:ind w:left="107" w:right="3" w:firstLine="0"/>
                          <w:jc w:val="left"/>
                          <w:rPr>
                            <w:sz w:val="32"/>
                          </w:rPr>
                        </w:pPr>
                        <w:r>
                          <w:rPr>
                            <w:sz w:val="32"/>
                          </w:rPr>
                          <w:t>完成课题规定任务，研究方法恰当，中心明确</w:t>
                        </w:r>
                        <w:r>
                          <w:rPr>
                            <w:spacing w:val="-13"/>
                            <w:sz w:val="32"/>
                          </w:rPr>
                          <w:t>论据充分，论证可靠严密，资料详实，理论分析比较深入，与实际联系紧密，结论合理，在某些方面</w:t>
                        </w:r>
                        <w:r>
                          <w:rPr>
                            <w:sz w:val="32"/>
                          </w:rPr>
                          <w:t>有所创新或有自己的见解；</w:t>
                        </w:r>
                      </w:p>
                      <w:p>
                        <w:pPr>
                          <w:pStyle w:val="TableParagraph"/>
                          <w:numPr>
                            <w:ilvl w:val="0"/>
                            <w:numId w:val="1"/>
                          </w:numPr>
                          <w:tabs>
                            <w:tab w:pos="430" w:val="left" w:leader="none"/>
                          </w:tabs>
                          <w:spacing w:line="304" w:lineRule="auto" w:before="0" w:after="0"/>
                          <w:ind w:left="107" w:right="4" w:firstLine="0"/>
                          <w:jc w:val="left"/>
                          <w:rPr>
                            <w:sz w:val="32"/>
                          </w:rPr>
                        </w:pPr>
                        <w:r>
                          <w:rPr>
                            <w:spacing w:val="-13"/>
                            <w:sz w:val="32"/>
                          </w:rPr>
                          <w:t>结构严谨，层次清晰，文字流畅，语言准确、简</w:t>
                        </w:r>
                        <w:r>
                          <w:rPr>
                            <w:sz w:val="32"/>
                          </w:rPr>
                          <w:t>练、专业；</w:t>
                        </w:r>
                      </w:p>
                      <w:p>
                        <w:pPr>
                          <w:pStyle w:val="TableParagraph"/>
                          <w:numPr>
                            <w:ilvl w:val="0"/>
                            <w:numId w:val="1"/>
                          </w:numPr>
                          <w:tabs>
                            <w:tab w:pos="430" w:val="left" w:leader="none"/>
                          </w:tabs>
                          <w:spacing w:line="408" w:lineRule="exact" w:before="0" w:after="0"/>
                          <w:ind w:left="429" w:right="0" w:hanging="323"/>
                          <w:jc w:val="left"/>
                          <w:rPr>
                            <w:sz w:val="32"/>
                          </w:rPr>
                        </w:pPr>
                        <w:r>
                          <w:rPr>
                            <w:sz w:val="32"/>
                          </w:rPr>
                          <w:t>体现出较强的文献资料查阅和综合运用能力。</w:t>
                        </w:r>
                      </w:p>
                    </w:tc>
                  </w:tr>
                  <w:tr>
                    <w:trPr>
                      <w:trHeight w:val="2114" w:hRule="atLeast"/>
                    </w:trPr>
                    <w:tc>
                      <w:tcPr>
                        <w:tcW w:w="1337" w:type="dxa"/>
                      </w:tcPr>
                      <w:p>
                        <w:pPr>
                          <w:pStyle w:val="TableParagraph"/>
                          <w:spacing w:before="10"/>
                          <w:ind w:left="0"/>
                          <w:rPr>
                            <w:sz w:val="27"/>
                          </w:rPr>
                        </w:pPr>
                      </w:p>
                      <w:p>
                        <w:pPr>
                          <w:pStyle w:val="TableParagraph"/>
                          <w:spacing w:line="304" w:lineRule="auto"/>
                          <w:ind w:left="395" w:right="130" w:hanging="161"/>
                          <w:rPr>
                            <w:sz w:val="32"/>
                          </w:rPr>
                        </w:pPr>
                        <w:r>
                          <w:rPr>
                            <w:spacing w:val="-6"/>
                            <w:sz w:val="32"/>
                          </w:rPr>
                          <w:t>规范化</w:t>
                        </w:r>
                        <w:r>
                          <w:rPr>
                            <w:sz w:val="32"/>
                          </w:rPr>
                          <w:t>程度</w:t>
                        </w:r>
                      </w:p>
                      <w:p>
                        <w:pPr>
                          <w:pStyle w:val="TableParagraph"/>
                          <w:spacing w:line="408" w:lineRule="exact"/>
                          <w:rPr>
                            <w:sz w:val="32"/>
                          </w:rPr>
                        </w:pPr>
                        <w:r>
                          <w:rPr>
                            <w:sz w:val="32"/>
                          </w:rPr>
                          <w:t>（30</w:t>
                        </w:r>
                        <w:r>
                          <w:rPr>
                            <w:spacing w:val="-40"/>
                            <w:sz w:val="32"/>
                          </w:rPr>
                          <w:t> 分</w:t>
                        </w:r>
                      </w:p>
                    </w:tc>
                    <w:tc>
                      <w:tcPr>
                        <w:tcW w:w="7036" w:type="dxa"/>
                      </w:tcPr>
                      <w:p>
                        <w:pPr>
                          <w:pStyle w:val="TableParagraph"/>
                          <w:numPr>
                            <w:ilvl w:val="0"/>
                            <w:numId w:val="2"/>
                          </w:numPr>
                          <w:tabs>
                            <w:tab w:pos="430" w:val="left" w:leader="none"/>
                          </w:tabs>
                          <w:spacing w:line="240" w:lineRule="auto" w:before="97" w:after="0"/>
                          <w:ind w:left="429" w:right="0" w:hanging="323"/>
                          <w:jc w:val="left"/>
                          <w:rPr>
                            <w:sz w:val="32"/>
                          </w:rPr>
                        </w:pPr>
                        <w:r>
                          <w:rPr>
                            <w:sz w:val="32"/>
                          </w:rPr>
                          <w:t>正文字数达到要求；</w:t>
                        </w:r>
                      </w:p>
                      <w:p>
                        <w:pPr>
                          <w:pStyle w:val="TableParagraph"/>
                          <w:numPr>
                            <w:ilvl w:val="0"/>
                            <w:numId w:val="2"/>
                          </w:numPr>
                          <w:tabs>
                            <w:tab w:pos="430" w:val="left" w:leader="none"/>
                          </w:tabs>
                          <w:spacing w:line="520" w:lineRule="exact" w:before="13" w:after="0"/>
                          <w:ind w:left="107" w:right="4" w:firstLine="0"/>
                          <w:jc w:val="left"/>
                          <w:rPr>
                            <w:sz w:val="32"/>
                          </w:rPr>
                        </w:pPr>
                        <w:r>
                          <w:rPr>
                            <w:spacing w:val="-12"/>
                            <w:sz w:val="32"/>
                          </w:rPr>
                          <w:t>论文各要素齐全，书写格式、资料引证、参考文</w:t>
                        </w:r>
                        <w:r>
                          <w:rPr>
                            <w:spacing w:val="-13"/>
                            <w:sz w:val="32"/>
                          </w:rPr>
                          <w:t>献、图纸、计算机程序等规范准确，符合学校格式</w:t>
                        </w:r>
                      </w:p>
                      <w:p>
                        <w:pPr>
                          <w:pStyle w:val="TableParagraph"/>
                          <w:spacing w:line="172" w:lineRule="exact"/>
                          <w:ind w:left="-188"/>
                          <w:rPr>
                            <w:sz w:val="32"/>
                          </w:rPr>
                        </w:pPr>
                        <w:r>
                          <w:rPr>
                            <w:w w:val="99"/>
                            <w:sz w:val="32"/>
                          </w:rPr>
                          <w:t>）</w:t>
                        </w:r>
                      </w:p>
                      <w:p>
                        <w:pPr>
                          <w:pStyle w:val="TableParagraph"/>
                          <w:spacing w:line="336" w:lineRule="exact"/>
                          <w:rPr>
                            <w:sz w:val="32"/>
                          </w:rPr>
                        </w:pPr>
                        <w:r>
                          <w:rPr>
                            <w:sz w:val="32"/>
                          </w:rPr>
                          <w:t>要求、学术规范或相关国家、行业标准。</w:t>
                        </w:r>
                      </w:p>
                    </w:tc>
                  </w:tr>
                  <w:tr>
                    <w:trPr>
                      <w:trHeight w:val="1595" w:hRule="atLeast"/>
                    </w:trPr>
                    <w:tc>
                      <w:tcPr>
                        <w:tcW w:w="1337" w:type="dxa"/>
                      </w:tcPr>
                      <w:p>
                        <w:pPr>
                          <w:pStyle w:val="TableParagraph"/>
                          <w:spacing w:line="304" w:lineRule="auto" w:before="97"/>
                          <w:ind w:left="395" w:right="286"/>
                          <w:rPr>
                            <w:sz w:val="32"/>
                          </w:rPr>
                        </w:pPr>
                        <w:r>
                          <w:rPr>
                            <w:spacing w:val="-8"/>
                            <w:sz w:val="32"/>
                          </w:rPr>
                          <w:t>工作态度</w:t>
                        </w:r>
                      </w:p>
                      <w:p>
                        <w:pPr>
                          <w:pStyle w:val="TableParagraph"/>
                          <w:spacing w:line="408" w:lineRule="exact"/>
                          <w:rPr>
                            <w:sz w:val="32"/>
                          </w:rPr>
                        </w:pPr>
                        <w:r>
                          <w:rPr>
                            <w:sz w:val="32"/>
                          </w:rPr>
                          <w:t>（20</w:t>
                        </w:r>
                        <w:r>
                          <w:rPr>
                            <w:spacing w:val="-40"/>
                            <w:sz w:val="32"/>
                          </w:rPr>
                          <w:t> 分</w:t>
                        </w:r>
                      </w:p>
                    </w:tc>
                    <w:tc>
                      <w:tcPr>
                        <w:tcW w:w="7036" w:type="dxa"/>
                      </w:tcPr>
                      <w:p>
                        <w:pPr>
                          <w:pStyle w:val="TableParagraph"/>
                          <w:spacing w:line="304" w:lineRule="auto" w:before="97"/>
                          <w:ind w:right="5"/>
                          <w:rPr>
                            <w:sz w:val="32"/>
                          </w:rPr>
                        </w:pPr>
                        <w:r>
                          <w:rPr>
                            <w:spacing w:val="-13"/>
                            <w:sz w:val="32"/>
                          </w:rPr>
                          <w:t>认真严谨、积极主动，能够按时按质完成论文的选</w:t>
                        </w:r>
                        <w:r>
                          <w:rPr>
                            <w:sz w:val="32"/>
                          </w:rPr>
                          <w:t>题、开题和写作，并根据指导教师意见进行修改</w:t>
                        </w:r>
                      </w:p>
                      <w:p>
                        <w:pPr>
                          <w:pStyle w:val="TableParagraph"/>
                          <w:spacing w:line="408" w:lineRule="exact"/>
                          <w:ind w:left="-164"/>
                          <w:rPr>
                            <w:sz w:val="32"/>
                          </w:rPr>
                        </w:pPr>
                        <w:r>
                          <w:rPr>
                            <w:sz w:val="32"/>
                          </w:rPr>
                          <w:t>）与教师进行深入有价值的良性讨论。</w:t>
                        </w:r>
                      </w:p>
                    </w:tc>
                  </w:tr>
                </w:tbl>
                <w:p>
                  <w:pPr>
                    <w:pStyle w:val="BodyText"/>
                    <w:ind w:left="0"/>
                  </w:pPr>
                </w:p>
              </w:txbxContent>
            </v:textbox>
            <w10:wrap type="none"/>
          </v:shape>
        </w:pict>
      </w:r>
      <w:r>
        <w:rPr>
          <w:w w:val="99"/>
        </w:rPr>
        <w:t>，</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3"/>
        <w:ind w:left="0"/>
        <w:rPr>
          <w:sz w:val="46"/>
        </w:rPr>
      </w:pPr>
    </w:p>
    <w:p>
      <w:pPr>
        <w:pStyle w:val="BodyText"/>
        <w:ind w:left="8324"/>
      </w:pPr>
      <w:r>
        <w:rPr>
          <w:w w:val="99"/>
        </w:rPr>
        <w:t>，</w:t>
      </w:r>
    </w:p>
    <w:p>
      <w:pPr>
        <w:pStyle w:val="BodyText"/>
        <w:spacing w:before="7"/>
        <w:ind w:left="0"/>
        <w:rPr>
          <w:sz w:val="45"/>
        </w:rPr>
      </w:pPr>
    </w:p>
    <w:p>
      <w:pPr>
        <w:spacing w:before="0"/>
        <w:ind w:left="863" w:right="0" w:firstLine="0"/>
        <w:jc w:val="both"/>
        <w:rPr>
          <w:sz w:val="32"/>
        </w:rPr>
      </w:pPr>
      <w:r>
        <w:rPr>
          <w:rFonts w:ascii="Microsoft JhengHei" w:eastAsia="Microsoft JhengHei" w:hint="eastAsia"/>
          <w:b/>
          <w:sz w:val="32"/>
        </w:rPr>
        <w:t>第二十一条 </w:t>
      </w:r>
      <w:r>
        <w:rPr>
          <w:sz w:val="32"/>
        </w:rPr>
        <w:t>毕业论文答辩成绩评定标准</w:t>
      </w:r>
    </w:p>
    <w:p>
      <w:pPr>
        <w:pStyle w:val="BodyText"/>
        <w:spacing w:line="316" w:lineRule="auto" w:before="58"/>
        <w:ind w:right="279" w:firstLine="640"/>
        <w:jc w:val="both"/>
      </w:pPr>
      <w:r>
        <w:rPr/>
        <w:pict>
          <v:shape style="position:absolute;margin-left:84.384003pt;margin-top:105.300018pt;width:424.2pt;height:131.550pt;mso-position-horizontal-relative:page;mso-position-vertical-relative:paragraph;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6093"/>
                  </w:tblGrid>
                  <w:tr>
                    <w:trPr>
                      <w:trHeight w:val="520" w:hRule="atLeast"/>
                    </w:trPr>
                    <w:tc>
                      <w:tcPr>
                        <w:tcW w:w="2377" w:type="dxa"/>
                      </w:tcPr>
                      <w:p>
                        <w:pPr>
                          <w:pStyle w:val="TableParagraph"/>
                          <w:spacing w:line="403" w:lineRule="exact" w:before="97"/>
                          <w:ind w:left="546"/>
                          <w:rPr>
                            <w:sz w:val="32"/>
                          </w:rPr>
                        </w:pPr>
                        <w:r>
                          <w:rPr>
                            <w:sz w:val="32"/>
                          </w:rPr>
                          <w:t>评价指标</w:t>
                        </w:r>
                      </w:p>
                    </w:tc>
                    <w:tc>
                      <w:tcPr>
                        <w:tcW w:w="6093" w:type="dxa"/>
                      </w:tcPr>
                      <w:p>
                        <w:pPr>
                          <w:pStyle w:val="TableParagraph"/>
                          <w:spacing w:line="403" w:lineRule="exact" w:before="97"/>
                          <w:ind w:left="2384" w:right="2379"/>
                          <w:jc w:val="center"/>
                          <w:rPr>
                            <w:sz w:val="32"/>
                          </w:rPr>
                        </w:pPr>
                        <w:r>
                          <w:rPr>
                            <w:sz w:val="32"/>
                          </w:rPr>
                          <w:t>评价内涵</w:t>
                        </w:r>
                      </w:p>
                    </w:tc>
                  </w:tr>
                  <w:tr>
                    <w:trPr>
                      <w:trHeight w:val="2080" w:hRule="atLeast"/>
                    </w:trPr>
                    <w:tc>
                      <w:tcPr>
                        <w:tcW w:w="2377" w:type="dxa"/>
                      </w:tcPr>
                      <w:p>
                        <w:pPr>
                          <w:pStyle w:val="TableParagraph"/>
                          <w:ind w:left="0"/>
                          <w:rPr>
                            <w:sz w:val="32"/>
                          </w:rPr>
                        </w:pPr>
                      </w:p>
                      <w:p>
                        <w:pPr>
                          <w:pStyle w:val="TableParagraph"/>
                          <w:spacing w:before="206"/>
                          <w:ind w:left="207" w:right="199"/>
                          <w:jc w:val="center"/>
                          <w:rPr>
                            <w:sz w:val="32"/>
                          </w:rPr>
                        </w:pPr>
                        <w:r>
                          <w:rPr>
                            <w:sz w:val="32"/>
                          </w:rPr>
                          <w:t>论文完成质量</w:t>
                        </w:r>
                      </w:p>
                      <w:p>
                        <w:pPr>
                          <w:pStyle w:val="TableParagraph"/>
                          <w:spacing w:before="111"/>
                          <w:ind w:left="206" w:right="199"/>
                          <w:jc w:val="center"/>
                          <w:rPr>
                            <w:rFonts w:ascii="Times New Roman" w:eastAsia="Times New Roman"/>
                            <w:sz w:val="32"/>
                          </w:rPr>
                        </w:pPr>
                        <w:r>
                          <w:rPr>
                            <w:sz w:val="32"/>
                          </w:rPr>
                          <w:t>（</w:t>
                        </w:r>
                        <w:r>
                          <w:rPr>
                            <w:rFonts w:ascii="Times New Roman" w:eastAsia="Times New Roman"/>
                            <w:sz w:val="32"/>
                          </w:rPr>
                          <w:t>50 </w:t>
                        </w:r>
                        <w:r>
                          <w:rPr>
                            <w:sz w:val="32"/>
                          </w:rPr>
                          <w:t>分）</w:t>
                        </w:r>
                        <w:r>
                          <w:rPr>
                            <w:rFonts w:ascii="Times New Roman" w:eastAsia="Times New Roman"/>
                            <w:sz w:val="32"/>
                          </w:rPr>
                          <w:t>*</w:t>
                        </w:r>
                      </w:p>
                    </w:tc>
                    <w:tc>
                      <w:tcPr>
                        <w:tcW w:w="6093" w:type="dxa"/>
                      </w:tcPr>
                      <w:p>
                        <w:pPr>
                          <w:pStyle w:val="TableParagraph"/>
                          <w:spacing w:line="304" w:lineRule="auto" w:before="97"/>
                          <w:ind w:right="100"/>
                          <w:jc w:val="both"/>
                          <w:rPr>
                            <w:sz w:val="32"/>
                          </w:rPr>
                        </w:pPr>
                        <w:r>
                          <w:rPr>
                            <w:spacing w:val="5"/>
                            <w:w w:val="95"/>
                            <w:sz w:val="32"/>
                          </w:rPr>
                          <w:t>选题合理；中心明确，理论分析透彻，解决问题方案恰当，与实际联系紧密，结论合理，在某些方面有所创新或有自己的见</w:t>
                        </w:r>
                      </w:p>
                      <w:p>
                        <w:pPr>
                          <w:pStyle w:val="TableParagraph"/>
                          <w:spacing w:line="401" w:lineRule="exact"/>
                          <w:rPr>
                            <w:sz w:val="32"/>
                          </w:rPr>
                        </w:pPr>
                        <w:r>
                          <w:rPr>
                            <w:spacing w:val="6"/>
                            <w:w w:val="95"/>
                            <w:sz w:val="32"/>
                          </w:rPr>
                          <w:t>解；结构严谨，层次清晰，语言通顺；体</w:t>
                        </w:r>
                      </w:p>
                    </w:tc>
                  </w:tr>
                </w:tbl>
                <w:p>
                  <w:pPr>
                    <w:pStyle w:val="BodyText"/>
                    <w:ind w:left="0"/>
                  </w:pPr>
                </w:p>
              </w:txbxContent>
            </v:textbox>
            <w10:wrap type="none"/>
          </v:shape>
        </w:pict>
      </w:r>
      <w:r>
        <w:rPr>
          <w:spacing w:val="-7"/>
        </w:rPr>
        <w:t>答辩教师应提前评阅论文，并参照以下指标对学生论文完成质量和答辩情况进行评分，填写《山东大学高等学历继</w:t>
      </w:r>
      <w:r>
        <w:rPr>
          <w:spacing w:val="-5"/>
        </w:rPr>
        <w:t>续教育本科毕业论文答辩成绩评定表》，答辩成绩不及格的</w:t>
      </w:r>
      <w:r>
        <w:rPr/>
        <w:t>须写明理由。</w:t>
      </w:r>
    </w:p>
    <w:p>
      <w:pPr>
        <w:spacing w:after="0" w:line="316" w:lineRule="auto"/>
        <w:jc w:val="both"/>
        <w:sectPr>
          <w:pgSz w:w="11860" w:h="16790"/>
          <w:pgMar w:top="1440" w:bottom="280" w:left="1580" w:right="15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6093"/>
      </w:tblGrid>
      <w:tr>
        <w:trPr>
          <w:trHeight w:val="1041" w:hRule="atLeast"/>
        </w:trPr>
        <w:tc>
          <w:tcPr>
            <w:tcW w:w="2377" w:type="dxa"/>
          </w:tcPr>
          <w:p>
            <w:pPr>
              <w:pStyle w:val="TableParagraph"/>
              <w:ind w:left="0"/>
              <w:rPr>
                <w:rFonts w:ascii="Times New Roman"/>
                <w:sz w:val="30"/>
              </w:rPr>
            </w:pPr>
          </w:p>
        </w:tc>
        <w:tc>
          <w:tcPr>
            <w:tcW w:w="6093" w:type="dxa"/>
          </w:tcPr>
          <w:p>
            <w:pPr>
              <w:pStyle w:val="TableParagraph"/>
              <w:spacing w:before="94"/>
              <w:rPr>
                <w:sz w:val="32"/>
              </w:rPr>
            </w:pPr>
            <w:r>
              <w:rPr>
                <w:sz w:val="32"/>
              </w:rPr>
              <w:t>现出较强的文献资料查阅和综合运用能</w:t>
            </w:r>
          </w:p>
          <w:p>
            <w:pPr>
              <w:pStyle w:val="TableParagraph"/>
              <w:spacing w:line="406" w:lineRule="exact" w:before="111"/>
              <w:rPr>
                <w:sz w:val="32"/>
              </w:rPr>
            </w:pPr>
            <w:r>
              <w:rPr>
                <w:sz w:val="32"/>
              </w:rPr>
              <w:t>力；要素齐全，格式规范。</w:t>
            </w:r>
          </w:p>
        </w:tc>
      </w:tr>
      <w:tr>
        <w:trPr>
          <w:trHeight w:val="1038" w:hRule="atLeast"/>
        </w:trPr>
        <w:tc>
          <w:tcPr>
            <w:tcW w:w="2377" w:type="dxa"/>
          </w:tcPr>
          <w:p>
            <w:pPr>
              <w:pStyle w:val="TableParagraph"/>
              <w:spacing w:before="91"/>
              <w:ind w:left="207" w:right="199"/>
              <w:jc w:val="center"/>
              <w:rPr>
                <w:sz w:val="32"/>
              </w:rPr>
            </w:pPr>
            <w:r>
              <w:rPr>
                <w:sz w:val="32"/>
              </w:rPr>
              <w:t>论文阐述报告</w:t>
            </w:r>
          </w:p>
          <w:p>
            <w:pPr>
              <w:pStyle w:val="TableParagraph"/>
              <w:spacing w:line="406" w:lineRule="exact" w:before="111"/>
              <w:ind w:left="207" w:right="199"/>
              <w:jc w:val="center"/>
              <w:rPr>
                <w:sz w:val="32"/>
              </w:rPr>
            </w:pPr>
            <w:r>
              <w:rPr>
                <w:sz w:val="32"/>
              </w:rPr>
              <w:t>（</w:t>
            </w:r>
            <w:r>
              <w:rPr>
                <w:rFonts w:ascii="Times New Roman" w:eastAsia="Times New Roman"/>
                <w:sz w:val="32"/>
              </w:rPr>
              <w:t>20 </w:t>
            </w:r>
            <w:r>
              <w:rPr>
                <w:sz w:val="32"/>
              </w:rPr>
              <w:t>分）</w:t>
            </w:r>
          </w:p>
        </w:tc>
        <w:tc>
          <w:tcPr>
            <w:tcW w:w="6093" w:type="dxa"/>
          </w:tcPr>
          <w:p>
            <w:pPr>
              <w:pStyle w:val="TableParagraph"/>
              <w:spacing w:before="91"/>
              <w:rPr>
                <w:sz w:val="32"/>
              </w:rPr>
            </w:pPr>
            <w:r>
              <w:rPr>
                <w:sz w:val="32"/>
              </w:rPr>
              <w:t>思路清晰，概念清楚，重点突出，语言表</w:t>
            </w:r>
          </w:p>
          <w:p>
            <w:pPr>
              <w:pStyle w:val="TableParagraph"/>
              <w:spacing w:line="406" w:lineRule="exact" w:before="111"/>
              <w:rPr>
                <w:sz w:val="32"/>
              </w:rPr>
            </w:pPr>
            <w:r>
              <w:rPr>
                <w:sz w:val="32"/>
              </w:rPr>
              <w:t>达准确，报告时间、节奏掌握较好。</w:t>
            </w:r>
          </w:p>
        </w:tc>
      </w:tr>
      <w:tr>
        <w:trPr>
          <w:trHeight w:val="1041" w:hRule="atLeast"/>
        </w:trPr>
        <w:tc>
          <w:tcPr>
            <w:tcW w:w="2377" w:type="dxa"/>
          </w:tcPr>
          <w:p>
            <w:pPr>
              <w:pStyle w:val="TableParagraph"/>
              <w:spacing w:before="94"/>
              <w:ind w:left="207" w:right="199"/>
              <w:jc w:val="center"/>
              <w:rPr>
                <w:sz w:val="32"/>
              </w:rPr>
            </w:pPr>
            <w:r>
              <w:rPr>
                <w:sz w:val="32"/>
              </w:rPr>
              <w:t>回答问题情况</w:t>
            </w:r>
          </w:p>
          <w:p>
            <w:pPr>
              <w:pStyle w:val="TableParagraph"/>
              <w:spacing w:line="407" w:lineRule="exact" w:before="111"/>
              <w:ind w:left="207" w:right="199"/>
              <w:jc w:val="center"/>
              <w:rPr>
                <w:sz w:val="32"/>
              </w:rPr>
            </w:pPr>
            <w:r>
              <w:rPr>
                <w:sz w:val="32"/>
              </w:rPr>
              <w:t>（</w:t>
            </w:r>
            <w:r>
              <w:rPr>
                <w:rFonts w:ascii="Times New Roman" w:eastAsia="Times New Roman"/>
                <w:sz w:val="32"/>
              </w:rPr>
              <w:t>30 </w:t>
            </w:r>
            <w:r>
              <w:rPr>
                <w:sz w:val="32"/>
              </w:rPr>
              <w:t>分）</w:t>
            </w:r>
          </w:p>
        </w:tc>
        <w:tc>
          <w:tcPr>
            <w:tcW w:w="6093" w:type="dxa"/>
          </w:tcPr>
          <w:p>
            <w:pPr>
              <w:pStyle w:val="TableParagraph"/>
              <w:spacing w:before="94"/>
              <w:rPr>
                <w:sz w:val="32"/>
              </w:rPr>
            </w:pPr>
            <w:r>
              <w:rPr>
                <w:sz w:val="32"/>
              </w:rPr>
              <w:t>回答问题有理有据，基本概念清楚，主要</w:t>
            </w:r>
          </w:p>
          <w:p>
            <w:pPr>
              <w:pStyle w:val="TableParagraph"/>
              <w:spacing w:line="407" w:lineRule="exact" w:before="111"/>
              <w:rPr>
                <w:sz w:val="32"/>
              </w:rPr>
            </w:pPr>
            <w:r>
              <w:rPr>
                <w:sz w:val="32"/>
              </w:rPr>
              <w:t>问题回答准确、有深度。</w:t>
            </w:r>
          </w:p>
        </w:tc>
      </w:tr>
    </w:tbl>
    <w:p>
      <w:pPr>
        <w:pStyle w:val="BodyText"/>
        <w:spacing w:line="316" w:lineRule="auto" w:before="109"/>
        <w:ind w:right="275" w:firstLine="643"/>
      </w:pPr>
      <w:r>
        <w:rPr>
          <w:rFonts w:ascii="Times New Roman" w:hAnsi="Times New Roman" w:eastAsia="Times New Roman"/>
          <w:b/>
        </w:rPr>
        <w:t>*</w:t>
      </w:r>
      <w:r>
        <w:rPr/>
        <w:t>如发现论文存在本规程第二十条“否决性指标”所列问题中的任意一个，“论文完成质量”此项分值为 </w:t>
      </w:r>
      <w:r>
        <w:rPr>
          <w:rFonts w:ascii="Times New Roman" w:hAnsi="Times New Roman" w:eastAsia="Times New Roman"/>
        </w:rPr>
        <w:t>0</w:t>
      </w:r>
      <w:r>
        <w:rPr/>
        <w:t>。</w:t>
      </w:r>
    </w:p>
    <w:p>
      <w:pPr>
        <w:spacing w:line="480" w:lineRule="exact" w:before="0"/>
        <w:ind w:left="863" w:right="0" w:firstLine="0"/>
        <w:jc w:val="left"/>
        <w:rPr>
          <w:sz w:val="32"/>
        </w:rPr>
      </w:pPr>
      <w:r>
        <w:rPr>
          <w:rFonts w:ascii="Microsoft JhengHei" w:eastAsia="Microsoft JhengHei" w:hint="eastAsia"/>
          <w:b/>
          <w:sz w:val="32"/>
        </w:rPr>
        <w:t>第二十二条 </w:t>
      </w:r>
      <w:r>
        <w:rPr>
          <w:sz w:val="32"/>
        </w:rPr>
        <w:t>毕业论文成绩不及格的学生，可直接参加</w:t>
      </w:r>
    </w:p>
    <w:p>
      <w:pPr>
        <w:pStyle w:val="BodyText"/>
        <w:spacing w:line="316" w:lineRule="auto" w:before="57"/>
        <w:ind w:right="120"/>
      </w:pPr>
      <w:r>
        <w:rPr>
          <w:spacing w:val="-7"/>
        </w:rPr>
        <w:t>下一批次的毕业论文；毕业论文成绩已及格但对成绩不满意</w:t>
      </w:r>
      <w:r>
        <w:rPr>
          <w:spacing w:val="-17"/>
        </w:rPr>
        <w:t>的学生，可按照《山东大学高等学历继续教育选课管理规定》</w:t>
      </w:r>
      <w:r>
        <w:rPr/>
        <w:t>申请重修，经继续教育学院审核同意后重新进行毕业论文， 取最高成绩为毕业论文最终成绩。</w:t>
      </w:r>
    </w:p>
    <w:p>
      <w:pPr>
        <w:spacing w:line="478" w:lineRule="exact" w:before="0"/>
        <w:ind w:left="863" w:right="0" w:firstLine="0"/>
        <w:jc w:val="left"/>
        <w:rPr>
          <w:sz w:val="32"/>
        </w:rPr>
      </w:pPr>
      <w:r>
        <w:rPr>
          <w:rFonts w:ascii="Microsoft JhengHei" w:eastAsia="Microsoft JhengHei" w:hint="eastAsia"/>
          <w:b/>
          <w:sz w:val="32"/>
        </w:rPr>
        <w:t>第二十三条 </w:t>
      </w:r>
      <w:r>
        <w:rPr>
          <w:sz w:val="32"/>
        </w:rPr>
        <w:t>学生对毕业论文写作成绩、答辩成绩有异</w:t>
      </w:r>
    </w:p>
    <w:p>
      <w:pPr>
        <w:pStyle w:val="BodyText"/>
        <w:spacing w:line="316" w:lineRule="auto" w:before="57"/>
        <w:ind w:right="211"/>
        <w:jc w:val="both"/>
      </w:pPr>
      <w:r>
        <w:rPr/>
        <w:t>议要求复议的，须在规定时间内提交书面复议申请，逾期不予受理。继续教育学院对复议申请进行审查，决定受理的， 学院将组织专家对毕业论文进行复议，复议结果为最终结论。</w:t>
      </w:r>
    </w:p>
    <w:p>
      <w:pPr>
        <w:spacing w:line="479" w:lineRule="exact" w:before="0"/>
        <w:ind w:left="863" w:right="0" w:firstLine="0"/>
        <w:jc w:val="left"/>
        <w:rPr>
          <w:sz w:val="32"/>
        </w:rPr>
      </w:pPr>
      <w:r>
        <w:rPr>
          <w:rFonts w:ascii="Microsoft JhengHei" w:eastAsia="Microsoft JhengHei" w:hint="eastAsia"/>
          <w:b/>
          <w:spacing w:val="15"/>
          <w:sz w:val="32"/>
        </w:rPr>
        <w:t>第二十四条 </w:t>
      </w:r>
      <w:r>
        <w:rPr>
          <w:sz w:val="32"/>
        </w:rPr>
        <w:t>毕业论文应独立完成，严禁弄虚作假，对</w:t>
      </w:r>
    </w:p>
    <w:p>
      <w:pPr>
        <w:pStyle w:val="BodyText"/>
        <w:spacing w:line="316" w:lineRule="auto" w:before="57"/>
        <w:ind w:right="276"/>
      </w:pPr>
      <w:r>
        <w:rPr>
          <w:spacing w:val="-8"/>
        </w:rPr>
        <w:t>毕业论文存在抄袭、剽窃、伪造、篡改等学术不端行为且情</w:t>
      </w:r>
      <w:r>
        <w:rPr>
          <w:spacing w:val="-8"/>
          <w:w w:val="95"/>
        </w:rPr>
        <w:t>节严重的，或者有买卖、代写论文、代答辩、伪造查重报告</w:t>
      </w:r>
    </w:p>
    <w:p>
      <w:pPr>
        <w:pStyle w:val="BodyText"/>
        <w:spacing w:line="480" w:lineRule="exact"/>
      </w:pPr>
      <w:r>
        <w:rPr>
          <w:w w:val="95"/>
        </w:rPr>
        <w:t>等作假行为的</w:t>
      </w:r>
      <w:r>
        <w:rPr>
          <w:rFonts w:ascii="Microsoft JhengHei" w:eastAsia="Microsoft JhengHei" w:hint="eastAsia"/>
          <w:b/>
          <w:w w:val="95"/>
        </w:rPr>
        <w:t>，</w:t>
      </w:r>
      <w:r>
        <w:rPr>
          <w:w w:val="95"/>
        </w:rPr>
        <w:t>学校将取消其本批次论文写作、答辩资格，</w:t>
      </w:r>
    </w:p>
    <w:p>
      <w:pPr>
        <w:pStyle w:val="BodyText"/>
        <w:spacing w:line="316" w:lineRule="auto" w:before="57"/>
        <w:ind w:right="280"/>
      </w:pPr>
      <w:r>
        <w:rPr>
          <w:spacing w:val="-11"/>
        </w:rPr>
        <w:t>毕业论文成绩按 </w:t>
      </w:r>
      <w:r>
        <w:rPr/>
        <w:t>0</w:t>
      </w:r>
      <w:r>
        <w:rPr>
          <w:spacing w:val="-15"/>
        </w:rPr>
        <w:t> 分记载，并依照国家和学校相关规定严肃</w:t>
      </w:r>
      <w:r>
        <w:rPr/>
        <w:t>处理。</w:t>
      </w:r>
    </w:p>
    <w:p>
      <w:pPr>
        <w:pStyle w:val="BodyText"/>
        <w:spacing w:line="409" w:lineRule="exact"/>
        <w:ind w:left="383" w:right="442"/>
        <w:jc w:val="center"/>
        <w:rPr>
          <w:rFonts w:ascii="黑体" w:eastAsia="黑体" w:hint="eastAsia"/>
        </w:rPr>
      </w:pPr>
      <w:r>
        <w:rPr>
          <w:rFonts w:ascii="黑体" w:eastAsia="黑体" w:hint="eastAsia"/>
        </w:rPr>
        <w:t>第六章 附则</w:t>
      </w:r>
    </w:p>
    <w:p>
      <w:pPr>
        <w:spacing w:after="0" w:line="409" w:lineRule="exact"/>
        <w:jc w:val="center"/>
        <w:rPr>
          <w:rFonts w:ascii="黑体" w:eastAsia="黑体" w:hint="eastAsia"/>
        </w:rPr>
        <w:sectPr>
          <w:pgSz w:w="11860" w:h="16790"/>
          <w:pgMar w:top="1440" w:bottom="280" w:left="1580" w:right="1520"/>
        </w:sectPr>
      </w:pPr>
    </w:p>
    <w:p>
      <w:pPr>
        <w:spacing w:line="512" w:lineRule="exact" w:before="0"/>
        <w:ind w:left="863" w:right="0" w:firstLine="0"/>
        <w:jc w:val="left"/>
        <w:rPr>
          <w:sz w:val="32"/>
        </w:rPr>
      </w:pPr>
      <w:r>
        <w:rPr>
          <w:rFonts w:ascii="Microsoft JhengHei" w:eastAsia="Microsoft JhengHei" w:hint="eastAsia"/>
          <w:b/>
          <w:sz w:val="32"/>
        </w:rPr>
        <w:t>第二十五条 </w:t>
      </w:r>
      <w:r>
        <w:rPr>
          <w:sz w:val="32"/>
        </w:rPr>
        <w:t>毕业论文工作结束后，平台留存学生开题</w:t>
      </w:r>
    </w:p>
    <w:p>
      <w:pPr>
        <w:pStyle w:val="BodyText"/>
        <w:spacing w:line="316" w:lineRule="auto" w:before="57"/>
        <w:ind w:right="210"/>
      </w:pPr>
      <w:r>
        <w:rPr/>
        <w:t>报告、毕业论文、查重报告及指导教师指导记录，答辩成绩评定表、答辩视频记录由继续教育学院统一存档。</w:t>
      </w:r>
    </w:p>
    <w:p>
      <w:pPr>
        <w:spacing w:line="480" w:lineRule="exact" w:before="0"/>
        <w:ind w:left="863" w:right="0" w:firstLine="0"/>
        <w:jc w:val="left"/>
        <w:rPr>
          <w:sz w:val="32"/>
        </w:rPr>
      </w:pPr>
      <w:r>
        <w:rPr>
          <w:rFonts w:ascii="Microsoft JhengHei" w:eastAsia="Microsoft JhengHei" w:hint="eastAsia"/>
          <w:b/>
          <w:sz w:val="32"/>
        </w:rPr>
        <w:t>第二十六条 </w:t>
      </w:r>
      <w:r>
        <w:rPr>
          <w:sz w:val="32"/>
        </w:rPr>
        <w:t>本规程自公布之日起执行，原《山东大学</w:t>
      </w:r>
    </w:p>
    <w:p>
      <w:pPr>
        <w:pStyle w:val="BodyText"/>
        <w:spacing w:line="254" w:lineRule="auto" w:before="57"/>
        <w:ind w:left="863" w:right="1319" w:hanging="644"/>
      </w:pPr>
      <w:r>
        <w:rPr/>
        <w:t>高等学历继续教育本科毕业论文写作要求》废止。</w:t>
      </w:r>
      <w:r>
        <w:rPr>
          <w:rFonts w:ascii="Microsoft JhengHei" w:eastAsia="Microsoft JhengHei" w:hint="eastAsia"/>
          <w:b/>
        </w:rPr>
        <w:t>第二十七条 </w:t>
      </w:r>
      <w:r>
        <w:rPr/>
        <w:t>本规程由继续教育学院负责解释。</w:t>
      </w:r>
    </w:p>
    <w:p>
      <w:pPr>
        <w:pStyle w:val="BodyText"/>
        <w:spacing w:before="11"/>
        <w:ind w:left="0"/>
        <w:rPr>
          <w:sz w:val="43"/>
        </w:rPr>
      </w:pPr>
    </w:p>
    <w:p>
      <w:pPr>
        <w:pStyle w:val="BodyText"/>
        <w:ind w:left="0" w:right="277"/>
        <w:jc w:val="right"/>
      </w:pPr>
      <w:r>
        <w:rPr>
          <w:w w:val="95"/>
        </w:rPr>
        <w:t>山东大学继续教育学院</w:t>
      </w:r>
    </w:p>
    <w:p>
      <w:pPr>
        <w:pStyle w:val="BodyText"/>
        <w:spacing w:before="130"/>
        <w:ind w:left="0" w:right="277"/>
        <w:jc w:val="right"/>
      </w:pPr>
      <w:r>
        <w:rPr/>
        <w:t>2022</w:t>
      </w:r>
      <w:r>
        <w:rPr>
          <w:spacing w:val="-54"/>
        </w:rPr>
        <w:t> 年 </w:t>
      </w:r>
      <w:r>
        <w:rPr/>
        <w:t>6</w:t>
      </w:r>
      <w:r>
        <w:rPr>
          <w:spacing w:val="-54"/>
        </w:rPr>
        <w:t> 月 </w:t>
      </w:r>
      <w:r>
        <w:rPr/>
        <w:t>17</w:t>
      </w:r>
      <w:r>
        <w:rPr>
          <w:spacing w:val="-42"/>
        </w:rPr>
        <w:t> 日</w:t>
      </w:r>
    </w:p>
    <w:sectPr>
      <w:pgSz w:w="11860" w:h="16790"/>
      <w:pgMar w:top="1520" w:bottom="280" w:left="15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黑体">
    <w:altName w:val="黑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29" w:hanging="323"/>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080" w:hanging="323"/>
      </w:pPr>
      <w:rPr>
        <w:rFonts w:hint="default"/>
        <w:lang w:val="zh-cn" w:eastAsia="zh-cn" w:bidi="zh-cn"/>
      </w:rPr>
    </w:lvl>
    <w:lvl w:ilvl="2">
      <w:start w:val="0"/>
      <w:numFmt w:val="bullet"/>
      <w:lvlText w:val="•"/>
      <w:lvlJc w:val="left"/>
      <w:pPr>
        <w:ind w:left="1741" w:hanging="323"/>
      </w:pPr>
      <w:rPr>
        <w:rFonts w:hint="default"/>
        <w:lang w:val="zh-cn" w:eastAsia="zh-cn" w:bidi="zh-cn"/>
      </w:rPr>
    </w:lvl>
    <w:lvl w:ilvl="3">
      <w:start w:val="0"/>
      <w:numFmt w:val="bullet"/>
      <w:lvlText w:val="•"/>
      <w:lvlJc w:val="left"/>
      <w:pPr>
        <w:ind w:left="2401" w:hanging="323"/>
      </w:pPr>
      <w:rPr>
        <w:rFonts w:hint="default"/>
        <w:lang w:val="zh-cn" w:eastAsia="zh-cn" w:bidi="zh-cn"/>
      </w:rPr>
    </w:lvl>
    <w:lvl w:ilvl="4">
      <w:start w:val="0"/>
      <w:numFmt w:val="bullet"/>
      <w:lvlText w:val="•"/>
      <w:lvlJc w:val="left"/>
      <w:pPr>
        <w:ind w:left="3062" w:hanging="323"/>
      </w:pPr>
      <w:rPr>
        <w:rFonts w:hint="default"/>
        <w:lang w:val="zh-cn" w:eastAsia="zh-cn" w:bidi="zh-cn"/>
      </w:rPr>
    </w:lvl>
    <w:lvl w:ilvl="5">
      <w:start w:val="0"/>
      <w:numFmt w:val="bullet"/>
      <w:lvlText w:val="•"/>
      <w:lvlJc w:val="left"/>
      <w:pPr>
        <w:ind w:left="3723" w:hanging="323"/>
      </w:pPr>
      <w:rPr>
        <w:rFonts w:hint="default"/>
        <w:lang w:val="zh-cn" w:eastAsia="zh-cn" w:bidi="zh-cn"/>
      </w:rPr>
    </w:lvl>
    <w:lvl w:ilvl="6">
      <w:start w:val="0"/>
      <w:numFmt w:val="bullet"/>
      <w:lvlText w:val="•"/>
      <w:lvlJc w:val="left"/>
      <w:pPr>
        <w:ind w:left="4383" w:hanging="323"/>
      </w:pPr>
      <w:rPr>
        <w:rFonts w:hint="default"/>
        <w:lang w:val="zh-cn" w:eastAsia="zh-cn" w:bidi="zh-cn"/>
      </w:rPr>
    </w:lvl>
    <w:lvl w:ilvl="7">
      <w:start w:val="0"/>
      <w:numFmt w:val="bullet"/>
      <w:lvlText w:val="•"/>
      <w:lvlJc w:val="left"/>
      <w:pPr>
        <w:ind w:left="5044" w:hanging="323"/>
      </w:pPr>
      <w:rPr>
        <w:rFonts w:hint="default"/>
        <w:lang w:val="zh-cn" w:eastAsia="zh-cn" w:bidi="zh-cn"/>
      </w:rPr>
    </w:lvl>
    <w:lvl w:ilvl="8">
      <w:start w:val="0"/>
      <w:numFmt w:val="bullet"/>
      <w:lvlText w:val="•"/>
      <w:lvlJc w:val="left"/>
      <w:pPr>
        <w:ind w:left="5704" w:hanging="323"/>
      </w:pPr>
      <w:rPr>
        <w:rFonts w:hint="default"/>
        <w:lang w:val="zh-cn" w:eastAsia="zh-cn" w:bidi="zh-cn"/>
      </w:rPr>
    </w:lvl>
  </w:abstractNum>
  <w:abstractNum w:abstractNumId="0">
    <w:multiLevelType w:val="hybridMultilevel"/>
    <w:lvl w:ilvl="0">
      <w:start w:val="2"/>
      <w:numFmt w:val="decimal"/>
      <w:lvlText w:val="%1."/>
      <w:lvlJc w:val="left"/>
      <w:pPr>
        <w:ind w:left="107" w:hanging="323"/>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792" w:hanging="323"/>
      </w:pPr>
      <w:rPr>
        <w:rFonts w:hint="default"/>
        <w:lang w:val="zh-cn" w:eastAsia="zh-cn" w:bidi="zh-cn"/>
      </w:rPr>
    </w:lvl>
    <w:lvl w:ilvl="2">
      <w:start w:val="0"/>
      <w:numFmt w:val="bullet"/>
      <w:lvlText w:val="•"/>
      <w:lvlJc w:val="left"/>
      <w:pPr>
        <w:ind w:left="1485" w:hanging="323"/>
      </w:pPr>
      <w:rPr>
        <w:rFonts w:hint="default"/>
        <w:lang w:val="zh-cn" w:eastAsia="zh-cn" w:bidi="zh-cn"/>
      </w:rPr>
    </w:lvl>
    <w:lvl w:ilvl="3">
      <w:start w:val="0"/>
      <w:numFmt w:val="bullet"/>
      <w:lvlText w:val="•"/>
      <w:lvlJc w:val="left"/>
      <w:pPr>
        <w:ind w:left="2177" w:hanging="323"/>
      </w:pPr>
      <w:rPr>
        <w:rFonts w:hint="default"/>
        <w:lang w:val="zh-cn" w:eastAsia="zh-cn" w:bidi="zh-cn"/>
      </w:rPr>
    </w:lvl>
    <w:lvl w:ilvl="4">
      <w:start w:val="0"/>
      <w:numFmt w:val="bullet"/>
      <w:lvlText w:val="•"/>
      <w:lvlJc w:val="left"/>
      <w:pPr>
        <w:ind w:left="2870" w:hanging="323"/>
      </w:pPr>
      <w:rPr>
        <w:rFonts w:hint="default"/>
        <w:lang w:val="zh-cn" w:eastAsia="zh-cn" w:bidi="zh-cn"/>
      </w:rPr>
    </w:lvl>
    <w:lvl w:ilvl="5">
      <w:start w:val="0"/>
      <w:numFmt w:val="bullet"/>
      <w:lvlText w:val="•"/>
      <w:lvlJc w:val="left"/>
      <w:pPr>
        <w:ind w:left="3563" w:hanging="323"/>
      </w:pPr>
      <w:rPr>
        <w:rFonts w:hint="default"/>
        <w:lang w:val="zh-cn" w:eastAsia="zh-cn" w:bidi="zh-cn"/>
      </w:rPr>
    </w:lvl>
    <w:lvl w:ilvl="6">
      <w:start w:val="0"/>
      <w:numFmt w:val="bullet"/>
      <w:lvlText w:val="•"/>
      <w:lvlJc w:val="left"/>
      <w:pPr>
        <w:ind w:left="4255" w:hanging="323"/>
      </w:pPr>
      <w:rPr>
        <w:rFonts w:hint="default"/>
        <w:lang w:val="zh-cn" w:eastAsia="zh-cn" w:bidi="zh-cn"/>
      </w:rPr>
    </w:lvl>
    <w:lvl w:ilvl="7">
      <w:start w:val="0"/>
      <w:numFmt w:val="bullet"/>
      <w:lvlText w:val="•"/>
      <w:lvlJc w:val="left"/>
      <w:pPr>
        <w:ind w:left="4948" w:hanging="323"/>
      </w:pPr>
      <w:rPr>
        <w:rFonts w:hint="default"/>
        <w:lang w:val="zh-cn" w:eastAsia="zh-cn" w:bidi="zh-cn"/>
      </w:rPr>
    </w:lvl>
    <w:lvl w:ilvl="8">
      <w:start w:val="0"/>
      <w:numFmt w:val="bullet"/>
      <w:lvlText w:val="•"/>
      <w:lvlJc w:val="left"/>
      <w:pPr>
        <w:ind w:left="5640" w:hanging="323"/>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220"/>
    </w:pPr>
    <w:rPr>
      <w:rFonts w:ascii="宋体" w:hAnsi="宋体" w:eastAsia="宋体" w:cs="宋体"/>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王永楠</dc:creator>
  <dcterms:created xsi:type="dcterms:W3CDTF">2023-11-20T01:01:49Z</dcterms:created>
  <dcterms:modified xsi:type="dcterms:W3CDTF">2023-11-20T01:01:49Z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2019</vt:lpwstr>
  </property>
  <property fmtid="{D5CDD505-2E9C-101B-9397-08002B2CF9AE}" pid="4" name="LastSaved">
    <vt:filetime>2023-11-20T00:00:00Z</vt:filetime>
  </property>
</Properties>
</file>